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88DBD" w14:textId="278596F9" w:rsidR="00165646" w:rsidRPr="00696B5E" w:rsidRDefault="000C5795" w:rsidP="000D1247">
      <w:pPr>
        <w:spacing w:after="0" w:line="240" w:lineRule="auto"/>
        <w:jc w:val="center"/>
        <w:rPr>
          <w:rFonts w:ascii="Arial" w:hAnsi="Arial" w:cs="Arial"/>
          <w:b/>
          <w:bCs/>
          <w:sz w:val="18"/>
          <w:szCs w:val="18"/>
        </w:rPr>
      </w:pPr>
      <w:r w:rsidRPr="00696B5E">
        <w:rPr>
          <w:rFonts w:ascii="Arial" w:hAnsi="Arial" w:cs="Arial"/>
          <w:b/>
          <w:sz w:val="18"/>
          <w:szCs w:val="18"/>
        </w:rPr>
        <w:t>ANEXO 7</w:t>
      </w:r>
      <w:r w:rsidR="00F336AA" w:rsidRPr="00696B5E">
        <w:rPr>
          <w:rFonts w:ascii="Arial" w:hAnsi="Arial" w:cs="Arial"/>
          <w:b/>
          <w:bCs/>
          <w:sz w:val="18"/>
          <w:szCs w:val="18"/>
        </w:rPr>
        <w:t>. MODELOS CUANTITATIVOS</w:t>
      </w:r>
      <w:r w:rsidR="00C73C7B" w:rsidRPr="00696B5E">
        <w:rPr>
          <w:rFonts w:ascii="Arial" w:hAnsi="Arial" w:cs="Arial"/>
          <w:b/>
          <w:bCs/>
          <w:sz w:val="18"/>
          <w:szCs w:val="18"/>
        </w:rPr>
        <w:t xml:space="preserve"> DE RIESGO DE MERCADO APLICABLES A</w:t>
      </w:r>
      <w:r w:rsidR="00F336AA" w:rsidRPr="00696B5E">
        <w:rPr>
          <w:rFonts w:ascii="Arial" w:hAnsi="Arial" w:cs="Arial"/>
          <w:b/>
          <w:bCs/>
          <w:sz w:val="18"/>
          <w:szCs w:val="18"/>
        </w:rPr>
        <w:t xml:space="preserve"> LAS SOCIEDADES FIDUCIARIAS, SOCIEDADES ADMINISTRADORAS DE FONDOS DE PENSIONES Y DE CESANTÍA, </w:t>
      </w:r>
      <w:r w:rsidR="00C73C7B" w:rsidRPr="00696B5E">
        <w:rPr>
          <w:rFonts w:ascii="Arial" w:hAnsi="Arial" w:cs="Arial"/>
          <w:b/>
          <w:bCs/>
          <w:sz w:val="18"/>
          <w:szCs w:val="18"/>
        </w:rPr>
        <w:t xml:space="preserve">SOCIEDADES ADMINISTRADORAS DE INVERSIÓN, </w:t>
      </w:r>
      <w:r w:rsidR="00F336AA" w:rsidRPr="00696B5E">
        <w:rPr>
          <w:rFonts w:ascii="Arial" w:hAnsi="Arial" w:cs="Arial"/>
          <w:b/>
          <w:bCs/>
          <w:sz w:val="18"/>
          <w:szCs w:val="18"/>
        </w:rPr>
        <w:t>ENTIDADES ADMINISTRADORAS DEL RÉGIMEN SOLIDARIO DE PRIMA</w:t>
      </w:r>
      <w:r w:rsidR="00C73C7B" w:rsidRPr="00696B5E">
        <w:rPr>
          <w:rFonts w:ascii="Arial" w:hAnsi="Arial" w:cs="Arial"/>
          <w:b/>
          <w:bCs/>
          <w:sz w:val="18"/>
          <w:szCs w:val="18"/>
        </w:rPr>
        <w:t xml:space="preserve"> MEDIA, ENTIDADES ASEGURADORAS,</w:t>
      </w:r>
      <w:r w:rsidR="00F336AA" w:rsidRPr="00696B5E">
        <w:rPr>
          <w:rFonts w:ascii="Arial" w:hAnsi="Arial" w:cs="Arial"/>
          <w:b/>
          <w:bCs/>
          <w:sz w:val="18"/>
          <w:szCs w:val="18"/>
        </w:rPr>
        <w:t xml:space="preserve"> SOCIEDADES DE CAPITALIZACIÓN,</w:t>
      </w:r>
      <w:r w:rsidR="00C73C7B" w:rsidRPr="00696B5E">
        <w:rPr>
          <w:rFonts w:ascii="Arial" w:hAnsi="Arial" w:cs="Arial"/>
          <w:b/>
          <w:bCs/>
          <w:sz w:val="18"/>
          <w:szCs w:val="18"/>
        </w:rPr>
        <w:t xml:space="preserve"> ASÍ COMO A LOS FONDOS DE INVERSIÓN COLECTIVA Y FONDOS QUE ÉSTAS Y LAS SOCIEDADES COMISIONISTAS DE BOLSA DE VALORES ADMINISTRAN</w:t>
      </w:r>
    </w:p>
    <w:p w14:paraId="10625A57" w14:textId="77777777" w:rsidR="00165646" w:rsidRPr="00696B5E" w:rsidRDefault="00165646" w:rsidP="000D1247">
      <w:pPr>
        <w:spacing w:after="0" w:line="240" w:lineRule="auto"/>
        <w:rPr>
          <w:rFonts w:ascii="Arial" w:hAnsi="Arial" w:cs="Arial"/>
          <w:b/>
          <w:sz w:val="18"/>
          <w:szCs w:val="18"/>
        </w:rPr>
      </w:pPr>
    </w:p>
    <w:p w14:paraId="6237EDE8" w14:textId="77777777" w:rsidR="00A8780B" w:rsidRPr="00696B5E" w:rsidRDefault="00A8780B" w:rsidP="000D1247">
      <w:pPr>
        <w:spacing w:after="0" w:line="240" w:lineRule="auto"/>
        <w:rPr>
          <w:rFonts w:ascii="Arial" w:hAnsi="Arial" w:cs="Arial"/>
          <w:b/>
          <w:sz w:val="18"/>
          <w:szCs w:val="18"/>
        </w:rPr>
      </w:pPr>
    </w:p>
    <w:p w14:paraId="28306471" w14:textId="0E33DC6D" w:rsidR="00165646" w:rsidRPr="00696B5E" w:rsidRDefault="00C73C7B" w:rsidP="00707FE1">
      <w:pPr>
        <w:pStyle w:val="Prrafodelista"/>
        <w:numPr>
          <w:ilvl w:val="0"/>
          <w:numId w:val="24"/>
        </w:numPr>
        <w:spacing w:after="0" w:line="240" w:lineRule="auto"/>
        <w:ind w:left="0" w:firstLine="0"/>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CONSIDERACIONES GENERALES</w:t>
      </w:r>
    </w:p>
    <w:p w14:paraId="638A1CAA" w14:textId="77777777" w:rsidR="00165646" w:rsidRPr="00696B5E" w:rsidRDefault="00165646" w:rsidP="00707FE1">
      <w:pPr>
        <w:spacing w:after="0" w:line="240" w:lineRule="auto"/>
        <w:contextualSpacing/>
        <w:jc w:val="both"/>
        <w:rPr>
          <w:rFonts w:ascii="Arial" w:eastAsia="Times New Roman" w:hAnsi="Arial" w:cs="Arial"/>
          <w:sz w:val="18"/>
          <w:szCs w:val="18"/>
          <w:lang w:val="es-ES" w:eastAsia="es-ES"/>
        </w:rPr>
      </w:pPr>
    </w:p>
    <w:p w14:paraId="757DB86C" w14:textId="018EBA2B" w:rsidR="00C73C7B" w:rsidRPr="00696B5E" w:rsidRDefault="00165646" w:rsidP="00707FE1">
      <w:pPr>
        <w:spacing w:after="0" w:line="240" w:lineRule="auto"/>
        <w:jc w:val="both"/>
        <w:rPr>
          <w:rFonts w:ascii="Arial" w:hAnsi="Arial" w:cs="Arial"/>
          <w:sz w:val="18"/>
          <w:szCs w:val="18"/>
        </w:rPr>
      </w:pPr>
      <w:r w:rsidRPr="00696B5E">
        <w:rPr>
          <w:rFonts w:ascii="Arial" w:eastAsia="Times New Roman" w:hAnsi="Arial" w:cs="Arial"/>
          <w:sz w:val="18"/>
          <w:szCs w:val="18"/>
          <w:lang w:val="es-ES" w:eastAsia="es-ES"/>
        </w:rPr>
        <w:t xml:space="preserve">En el presente anexo se establece el Modelo Estándar para la medición de riesgo de mercado el cual deben emplear </w:t>
      </w:r>
      <w:r w:rsidR="00C73C7B" w:rsidRPr="00696B5E">
        <w:rPr>
          <w:rFonts w:ascii="Arial" w:hAnsi="Arial" w:cs="Arial"/>
          <w:sz w:val="18"/>
          <w:szCs w:val="18"/>
        </w:rPr>
        <w:t>las SF, sociedades administradoras de fondos de pensiones y de cesantía</w:t>
      </w:r>
      <w:r w:rsidR="009C6BCF" w:rsidRPr="00696B5E">
        <w:rPr>
          <w:rFonts w:ascii="Arial" w:hAnsi="Arial" w:cs="Arial"/>
          <w:sz w:val="18"/>
          <w:szCs w:val="18"/>
        </w:rPr>
        <w:t xml:space="preserve">, </w:t>
      </w:r>
      <w:r w:rsidR="00C73C7B" w:rsidRPr="00696B5E">
        <w:rPr>
          <w:rFonts w:ascii="Arial" w:hAnsi="Arial" w:cs="Arial"/>
          <w:sz w:val="18"/>
          <w:szCs w:val="18"/>
        </w:rPr>
        <w:t xml:space="preserve">SAI, entidades administradoras del régimen solidario de prima media, EA, sociedades de capitalización, así como a los </w:t>
      </w:r>
      <w:proofErr w:type="spellStart"/>
      <w:r w:rsidR="00C73C7B" w:rsidRPr="00696B5E">
        <w:rPr>
          <w:rFonts w:ascii="Arial" w:hAnsi="Arial" w:cs="Arial"/>
          <w:sz w:val="18"/>
          <w:szCs w:val="18"/>
        </w:rPr>
        <w:t>FICs</w:t>
      </w:r>
      <w:proofErr w:type="spellEnd"/>
      <w:r w:rsidR="00C73C7B" w:rsidRPr="00696B5E">
        <w:rPr>
          <w:rFonts w:ascii="Arial" w:hAnsi="Arial" w:cs="Arial"/>
          <w:sz w:val="18"/>
          <w:szCs w:val="18"/>
        </w:rPr>
        <w:t xml:space="preserve"> y fondos que éstas administran. Igualmente, se debe aplicar lo dispuesto en el presente Anexo a los fondos y/o fideicomisos listados en el literal </w:t>
      </w:r>
      <w:r w:rsidR="006740E5" w:rsidRPr="00696B5E">
        <w:rPr>
          <w:rFonts w:ascii="Arial" w:hAnsi="Arial" w:cs="Arial"/>
          <w:sz w:val="18"/>
          <w:szCs w:val="18"/>
        </w:rPr>
        <w:t>b.</w:t>
      </w:r>
      <w:r w:rsidR="008C1BA9" w:rsidRPr="00696B5E">
        <w:rPr>
          <w:rFonts w:ascii="Arial" w:hAnsi="Arial" w:cs="Arial"/>
          <w:sz w:val="18"/>
          <w:szCs w:val="18"/>
        </w:rPr>
        <w:t xml:space="preserve"> y d.</w:t>
      </w:r>
      <w:r w:rsidR="00C73C7B" w:rsidRPr="00696B5E">
        <w:rPr>
          <w:rFonts w:ascii="Arial" w:hAnsi="Arial" w:cs="Arial"/>
          <w:sz w:val="18"/>
          <w:szCs w:val="18"/>
        </w:rPr>
        <w:t xml:space="preserve"> del </w:t>
      </w:r>
      <w:proofErr w:type="spellStart"/>
      <w:r w:rsidR="00880F93" w:rsidRPr="00696B5E">
        <w:rPr>
          <w:rFonts w:ascii="Arial" w:hAnsi="Arial" w:cs="Arial"/>
          <w:sz w:val="18"/>
          <w:szCs w:val="18"/>
        </w:rPr>
        <w:t>sub</w:t>
      </w:r>
      <w:r w:rsidR="00C73C7B" w:rsidRPr="00696B5E">
        <w:rPr>
          <w:rFonts w:ascii="Arial" w:hAnsi="Arial" w:cs="Arial"/>
          <w:sz w:val="18"/>
          <w:szCs w:val="18"/>
        </w:rPr>
        <w:t>numeral</w:t>
      </w:r>
      <w:proofErr w:type="spellEnd"/>
      <w:r w:rsidR="00C73C7B" w:rsidRPr="00696B5E">
        <w:rPr>
          <w:rFonts w:ascii="Arial" w:hAnsi="Arial" w:cs="Arial"/>
          <w:sz w:val="18"/>
          <w:szCs w:val="18"/>
        </w:rPr>
        <w:t xml:space="preserve"> 3.1</w:t>
      </w:r>
      <w:r w:rsidR="006740E5" w:rsidRPr="00696B5E">
        <w:rPr>
          <w:rFonts w:ascii="Arial" w:hAnsi="Arial" w:cs="Arial"/>
          <w:sz w:val="18"/>
          <w:szCs w:val="18"/>
        </w:rPr>
        <w:t>.</w:t>
      </w:r>
      <w:r w:rsidR="00C73C7B" w:rsidRPr="00696B5E">
        <w:rPr>
          <w:rFonts w:ascii="Arial" w:hAnsi="Arial" w:cs="Arial"/>
          <w:sz w:val="18"/>
          <w:szCs w:val="18"/>
        </w:rPr>
        <w:t xml:space="preserve"> de la Parte III del presente Capítulo.</w:t>
      </w:r>
    </w:p>
    <w:p w14:paraId="2BE25238" w14:textId="77777777" w:rsidR="00165646" w:rsidRPr="00696B5E" w:rsidRDefault="00165646" w:rsidP="00707FE1">
      <w:pPr>
        <w:spacing w:after="0" w:line="240" w:lineRule="auto"/>
        <w:jc w:val="both"/>
        <w:rPr>
          <w:rFonts w:ascii="Arial" w:hAnsi="Arial" w:cs="Arial"/>
          <w:sz w:val="18"/>
          <w:szCs w:val="18"/>
        </w:rPr>
      </w:pPr>
    </w:p>
    <w:p w14:paraId="2478FB72" w14:textId="58424072" w:rsidR="00165646" w:rsidRPr="00696B5E" w:rsidRDefault="001C1270"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w:t>
      </w:r>
      <w:r w:rsidR="00165646" w:rsidRPr="00696B5E">
        <w:rPr>
          <w:rFonts w:ascii="Arial" w:eastAsia="Times New Roman" w:hAnsi="Arial" w:cs="Arial"/>
          <w:sz w:val="18"/>
          <w:szCs w:val="18"/>
          <w:lang w:val="es-ES" w:eastAsia="es-ES"/>
        </w:rPr>
        <w:t xml:space="preserve">as </w:t>
      </w:r>
      <w:r w:rsidR="00C73C7B" w:rsidRPr="00696B5E">
        <w:rPr>
          <w:rFonts w:ascii="Arial" w:eastAsia="Times New Roman" w:hAnsi="Arial" w:cs="Arial"/>
          <w:sz w:val="18"/>
          <w:szCs w:val="18"/>
          <w:lang w:val="es-ES" w:eastAsia="es-ES"/>
        </w:rPr>
        <w:t>SCBV</w:t>
      </w:r>
      <w:r w:rsidR="00165646" w:rsidRPr="00696B5E">
        <w:rPr>
          <w:rFonts w:ascii="Arial" w:eastAsia="Times New Roman" w:hAnsi="Arial" w:cs="Arial"/>
          <w:sz w:val="18"/>
          <w:szCs w:val="18"/>
          <w:lang w:val="es-ES" w:eastAsia="es-ES"/>
        </w:rPr>
        <w:t xml:space="preserve"> deben utilizar el modelo presentado en el presente Anexo</w:t>
      </w:r>
      <w:r w:rsidR="00C73C7B" w:rsidRPr="00696B5E">
        <w:rPr>
          <w:rFonts w:ascii="Arial" w:eastAsia="Times New Roman" w:hAnsi="Arial" w:cs="Arial"/>
          <w:sz w:val="18"/>
          <w:szCs w:val="18"/>
          <w:lang w:val="es-ES" w:eastAsia="es-ES"/>
        </w:rPr>
        <w:t xml:space="preserve"> </w:t>
      </w:r>
      <w:r w:rsidR="00165646" w:rsidRPr="00696B5E">
        <w:rPr>
          <w:rFonts w:ascii="Arial" w:eastAsia="Times New Roman" w:hAnsi="Arial" w:cs="Arial"/>
          <w:sz w:val="18"/>
          <w:szCs w:val="18"/>
          <w:lang w:val="es-ES" w:eastAsia="es-ES"/>
        </w:rPr>
        <w:t>para medir de forma independiente la exposición a riesgos de mercado para las posiciones de cada uno de los portafolios administrados.</w:t>
      </w:r>
    </w:p>
    <w:p w14:paraId="50531ABB"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48634A0B" w14:textId="77777777" w:rsidR="00A8780B" w:rsidRPr="00696B5E" w:rsidRDefault="00A8780B" w:rsidP="000D1247">
      <w:pPr>
        <w:spacing w:after="0" w:line="240" w:lineRule="auto"/>
        <w:jc w:val="both"/>
        <w:rPr>
          <w:rFonts w:ascii="Arial" w:eastAsia="Times New Roman" w:hAnsi="Arial" w:cs="Arial"/>
          <w:sz w:val="18"/>
          <w:szCs w:val="18"/>
          <w:lang w:val="es-ES" w:eastAsia="es-ES"/>
        </w:rPr>
      </w:pPr>
    </w:p>
    <w:p w14:paraId="1F355B5E" w14:textId="44191A29" w:rsidR="00165646" w:rsidRPr="00696B5E" w:rsidRDefault="00C73C7B" w:rsidP="00707FE1">
      <w:pPr>
        <w:pStyle w:val="Prrafodelista"/>
        <w:numPr>
          <w:ilvl w:val="0"/>
          <w:numId w:val="24"/>
        </w:numPr>
        <w:spacing w:after="0" w:line="240" w:lineRule="auto"/>
        <w:ind w:left="0" w:firstLine="0"/>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METODOLOGÍA ESTÁNDAR DE MEDICIÓN</w:t>
      </w:r>
    </w:p>
    <w:p w14:paraId="5CFEDA0C" w14:textId="77777777" w:rsidR="00165646" w:rsidRPr="00696B5E" w:rsidRDefault="00165646" w:rsidP="00707FE1">
      <w:pPr>
        <w:spacing w:after="0" w:line="240" w:lineRule="auto"/>
        <w:jc w:val="both"/>
        <w:rPr>
          <w:rFonts w:ascii="Arial" w:eastAsia="Times New Roman" w:hAnsi="Arial" w:cs="Arial"/>
          <w:b/>
          <w:sz w:val="18"/>
          <w:szCs w:val="18"/>
          <w:lang w:val="es-ES" w:eastAsia="es-ES"/>
        </w:rPr>
      </w:pPr>
    </w:p>
    <w:p w14:paraId="37FFE157"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La metodología estandarizada se compone de un modelo de factores de riesgo correlacionado, calculando los siguientes factores de riesgo:</w:t>
      </w:r>
    </w:p>
    <w:p w14:paraId="6E749E6B"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69AB87F9" w14:textId="6DEFB352" w:rsidR="00361781" w:rsidRPr="00696B5E" w:rsidRDefault="00165646" w:rsidP="00707FE1">
      <w:pPr>
        <w:pStyle w:val="Prrafodelista"/>
        <w:numPr>
          <w:ilvl w:val="0"/>
          <w:numId w:val="12"/>
        </w:numPr>
        <w:spacing w:after="0" w:line="240" w:lineRule="auto"/>
        <w:ind w:left="0" w:firstLine="0"/>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Riesgo de tasa de interés</w:t>
      </w:r>
      <w:r w:rsidR="00593020" w:rsidRPr="00696B5E">
        <w:rPr>
          <w:rFonts w:ascii="Arial" w:eastAsia="Times New Roman" w:hAnsi="Arial" w:cs="Arial"/>
          <w:sz w:val="18"/>
          <w:szCs w:val="18"/>
          <w:lang w:val="es-ES" w:eastAsia="es-ES"/>
        </w:rPr>
        <w:t>.</w:t>
      </w:r>
    </w:p>
    <w:p w14:paraId="5B75DA4B" w14:textId="1FBF33EC" w:rsidR="00361781" w:rsidRPr="00696B5E" w:rsidRDefault="00165646" w:rsidP="00707FE1">
      <w:pPr>
        <w:pStyle w:val="Prrafodelista"/>
        <w:numPr>
          <w:ilvl w:val="0"/>
          <w:numId w:val="12"/>
        </w:numPr>
        <w:spacing w:after="0" w:line="240" w:lineRule="auto"/>
        <w:ind w:left="0" w:firstLine="0"/>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Riesgo de tasa de cambio</w:t>
      </w:r>
      <w:r w:rsidR="00593020" w:rsidRPr="00696B5E">
        <w:rPr>
          <w:rFonts w:ascii="Arial" w:eastAsia="Times New Roman" w:hAnsi="Arial" w:cs="Arial"/>
          <w:sz w:val="18"/>
          <w:szCs w:val="18"/>
          <w:lang w:val="es-ES" w:eastAsia="es-ES"/>
        </w:rPr>
        <w:t>.</w:t>
      </w:r>
    </w:p>
    <w:p w14:paraId="2E4BB67C" w14:textId="5B1D0249" w:rsidR="00361781" w:rsidRPr="00696B5E" w:rsidRDefault="00165646" w:rsidP="00707FE1">
      <w:pPr>
        <w:pStyle w:val="Prrafodelista"/>
        <w:numPr>
          <w:ilvl w:val="0"/>
          <w:numId w:val="12"/>
        </w:numPr>
        <w:spacing w:after="0" w:line="240" w:lineRule="auto"/>
        <w:ind w:left="0" w:firstLine="0"/>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Riesgo del precio de acciones o índices accionarios</w:t>
      </w:r>
      <w:r w:rsidR="00C00A72" w:rsidRPr="00696B5E">
        <w:rPr>
          <w:rFonts w:ascii="Arial" w:eastAsia="Times New Roman" w:hAnsi="Arial" w:cs="Arial"/>
          <w:sz w:val="18"/>
          <w:szCs w:val="18"/>
          <w:lang w:val="es-ES" w:eastAsia="es-ES"/>
        </w:rPr>
        <w:t>.</w:t>
      </w:r>
    </w:p>
    <w:p w14:paraId="252D3804" w14:textId="716EC0E6" w:rsidR="00165646" w:rsidRPr="00696B5E" w:rsidRDefault="00165646" w:rsidP="00707FE1">
      <w:pPr>
        <w:pStyle w:val="Prrafodelista"/>
        <w:numPr>
          <w:ilvl w:val="0"/>
          <w:numId w:val="12"/>
        </w:numPr>
        <w:spacing w:after="0" w:line="240" w:lineRule="auto"/>
        <w:ind w:left="0" w:firstLine="0"/>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Riesgo por inversiones </w:t>
      </w:r>
      <w:r w:rsidR="00C73C7B" w:rsidRPr="00696B5E">
        <w:rPr>
          <w:rFonts w:ascii="Arial" w:eastAsia="Times New Roman" w:hAnsi="Arial" w:cs="Arial"/>
          <w:sz w:val="18"/>
          <w:szCs w:val="18"/>
          <w:lang w:val="es-ES" w:eastAsia="es-ES"/>
        </w:rPr>
        <w:t xml:space="preserve">en </w:t>
      </w:r>
      <w:proofErr w:type="spellStart"/>
      <w:r w:rsidR="00C73C7B" w:rsidRPr="00696B5E">
        <w:rPr>
          <w:rFonts w:ascii="Arial" w:eastAsia="Times New Roman" w:hAnsi="Arial" w:cs="Arial"/>
          <w:sz w:val="18"/>
          <w:szCs w:val="18"/>
          <w:lang w:val="es-ES" w:eastAsia="es-ES"/>
        </w:rPr>
        <w:t>FICs</w:t>
      </w:r>
      <w:proofErr w:type="spellEnd"/>
      <w:r w:rsidR="00593020" w:rsidRPr="00696B5E">
        <w:rPr>
          <w:rFonts w:ascii="Arial" w:eastAsia="Times New Roman" w:hAnsi="Arial" w:cs="Arial"/>
          <w:sz w:val="18"/>
          <w:szCs w:val="18"/>
          <w:lang w:val="es-ES" w:eastAsia="es-ES"/>
        </w:rPr>
        <w:t>.</w:t>
      </w:r>
    </w:p>
    <w:p w14:paraId="40EB233A" w14:textId="5A63D35F" w:rsidR="0098565D" w:rsidRPr="00855313" w:rsidRDefault="0098565D" w:rsidP="00D710E5">
      <w:pPr>
        <w:pStyle w:val="Prrafodelista"/>
        <w:numPr>
          <w:ilvl w:val="0"/>
          <w:numId w:val="12"/>
        </w:numPr>
        <w:pBdr>
          <w:left w:val="single" w:sz="4" w:space="4" w:color="auto"/>
        </w:pBdr>
        <w:spacing w:after="0" w:line="240" w:lineRule="auto"/>
        <w:ind w:left="0" w:firstLine="0"/>
        <w:jc w:val="both"/>
        <w:rPr>
          <w:rFonts w:ascii="Arial" w:eastAsia="Times New Roman" w:hAnsi="Arial" w:cs="Arial"/>
          <w:b/>
          <w:bCs/>
          <w:sz w:val="18"/>
          <w:szCs w:val="18"/>
          <w:lang w:val="es-ES" w:eastAsia="es-ES"/>
        </w:rPr>
      </w:pPr>
      <w:r w:rsidRPr="00855313">
        <w:rPr>
          <w:rFonts w:ascii="Arial" w:eastAsia="Times New Roman" w:hAnsi="Arial" w:cs="Arial"/>
          <w:b/>
          <w:bCs/>
          <w:snapToGrid w:val="0"/>
          <w:sz w:val="18"/>
          <w:szCs w:val="18"/>
          <w:lang w:val="es-MX" w:eastAsia="es-ES"/>
        </w:rPr>
        <w:t xml:space="preserve">Riesgo </w:t>
      </w:r>
      <w:r w:rsidR="00DA295A" w:rsidRPr="00855313">
        <w:rPr>
          <w:rFonts w:ascii="Arial" w:eastAsia="Times New Roman" w:hAnsi="Arial" w:cs="Arial"/>
          <w:b/>
          <w:bCs/>
          <w:snapToGrid w:val="0"/>
          <w:sz w:val="18"/>
          <w:szCs w:val="18"/>
          <w:lang w:val="es-MX" w:eastAsia="es-ES"/>
        </w:rPr>
        <w:t>de derivados de crédito</w:t>
      </w:r>
    </w:p>
    <w:p w14:paraId="4661EAE3"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357CE241" w14:textId="7F72027A" w:rsidR="00165646" w:rsidRPr="00696B5E" w:rsidRDefault="0044173F" w:rsidP="00707FE1">
      <w:pPr>
        <w:numPr>
          <w:ilvl w:val="1"/>
          <w:numId w:val="2"/>
        </w:numPr>
        <w:spacing w:after="0" w:line="240" w:lineRule="auto"/>
        <w:ind w:left="0" w:firstLine="0"/>
        <w:contextualSpacing/>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Tratamiento de las</w:t>
      </w:r>
      <w:r w:rsidR="00165646" w:rsidRPr="00696B5E">
        <w:rPr>
          <w:rFonts w:ascii="Arial" w:eastAsia="Times New Roman" w:hAnsi="Arial" w:cs="Arial"/>
          <w:b/>
          <w:sz w:val="18"/>
          <w:szCs w:val="18"/>
          <w:lang w:val="es-ES" w:eastAsia="es-ES"/>
        </w:rPr>
        <w:t xml:space="preserve"> Posiciones en derivados y otras operaciones</w:t>
      </w:r>
    </w:p>
    <w:p w14:paraId="13009EA6"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056BAE94" w14:textId="3B5D5E97" w:rsidR="00C64BCE"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El presente numeral aplica para aquellas entidades, </w:t>
      </w:r>
      <w:proofErr w:type="spellStart"/>
      <w:r w:rsidR="00C73C7B" w:rsidRPr="00696B5E">
        <w:rPr>
          <w:rFonts w:ascii="Arial" w:eastAsia="Times New Roman" w:hAnsi="Arial" w:cs="Arial"/>
          <w:sz w:val="18"/>
          <w:szCs w:val="18"/>
          <w:lang w:val="es-ES" w:eastAsia="es-ES"/>
        </w:rPr>
        <w:t>FICs</w:t>
      </w:r>
      <w:proofErr w:type="spellEnd"/>
      <w:r w:rsidR="00C73C7B" w:rsidRPr="00696B5E">
        <w:rPr>
          <w:rFonts w:ascii="Arial" w:eastAsia="Times New Roman" w:hAnsi="Arial" w:cs="Arial"/>
          <w:sz w:val="18"/>
          <w:szCs w:val="18"/>
          <w:lang w:val="es-ES" w:eastAsia="es-ES"/>
        </w:rPr>
        <w:t xml:space="preserve"> </w:t>
      </w:r>
      <w:r w:rsidRPr="00696B5E">
        <w:rPr>
          <w:rFonts w:ascii="Arial" w:eastAsia="Times New Roman" w:hAnsi="Arial" w:cs="Arial"/>
          <w:sz w:val="18"/>
          <w:szCs w:val="18"/>
          <w:lang w:val="es-ES" w:eastAsia="es-ES"/>
        </w:rPr>
        <w:t>o portafolios, que por su régimen de inversiones puedan realizar este tipo de operaciones. Las posiciones en instrumentos derivados y en operaciones de repo o reporto, en operaciones simultáneas y en operaciones de transferencia temporal de valores serán tenidas en cuenta para el cálculo de la exposición al riesgo de mercado, independientemente de su clasificación contable y de acuerdo con las condiciones señaladas a continuación.</w:t>
      </w:r>
    </w:p>
    <w:p w14:paraId="5A64E890" w14:textId="77777777" w:rsidR="001B396F" w:rsidRPr="00696B5E" w:rsidRDefault="001B396F" w:rsidP="000D1247">
      <w:pPr>
        <w:spacing w:after="0" w:line="240" w:lineRule="auto"/>
        <w:jc w:val="both"/>
        <w:rPr>
          <w:rFonts w:ascii="Arial" w:eastAsia="Times New Roman" w:hAnsi="Arial" w:cs="Arial"/>
          <w:sz w:val="18"/>
          <w:szCs w:val="18"/>
          <w:lang w:val="es-ES" w:eastAsia="es-ES"/>
        </w:rPr>
      </w:pPr>
    </w:p>
    <w:p w14:paraId="3F4A5DA7" w14:textId="3EEB113C" w:rsidR="001B396F" w:rsidRPr="00855313" w:rsidRDefault="00165646" w:rsidP="00CC79FE">
      <w:pPr>
        <w:pStyle w:val="Prrafodelista"/>
        <w:numPr>
          <w:ilvl w:val="2"/>
          <w:numId w:val="31"/>
        </w:numPr>
        <w:spacing w:after="0" w:line="240" w:lineRule="auto"/>
        <w:jc w:val="both"/>
        <w:rPr>
          <w:rFonts w:ascii="Arial" w:eastAsia="Times New Roman" w:hAnsi="Arial" w:cs="Arial"/>
          <w:sz w:val="18"/>
          <w:szCs w:val="18"/>
          <w:lang w:val="es-ES" w:eastAsia="es-ES"/>
        </w:rPr>
      </w:pPr>
      <w:r w:rsidRPr="00855313">
        <w:rPr>
          <w:rFonts w:ascii="Arial" w:eastAsia="Times New Roman" w:hAnsi="Arial" w:cs="Arial"/>
          <w:sz w:val="18"/>
          <w:szCs w:val="18"/>
          <w:lang w:val="es-ES" w:eastAsia="es-ES"/>
        </w:rPr>
        <w:t>Posiciones en derivados</w:t>
      </w:r>
    </w:p>
    <w:p w14:paraId="0AFE35CF" w14:textId="77777777" w:rsidR="00165646" w:rsidRPr="00696B5E" w:rsidRDefault="00165646" w:rsidP="00707FE1">
      <w:pPr>
        <w:spacing w:after="0" w:line="240" w:lineRule="auto"/>
        <w:jc w:val="both"/>
        <w:rPr>
          <w:rFonts w:ascii="Arial" w:eastAsia="Times New Roman" w:hAnsi="Arial" w:cs="Arial"/>
          <w:b/>
          <w:sz w:val="18"/>
          <w:szCs w:val="18"/>
          <w:lang w:val="es-ES" w:eastAsia="es-ES"/>
        </w:rPr>
      </w:pPr>
    </w:p>
    <w:p w14:paraId="5562FC39" w14:textId="779BD0AF"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su inclusión en el cálculo de la exposición a riesgos de mercado del presente numeral, los instrumentos derivados debe</w:t>
      </w:r>
      <w:r w:rsidR="00EF1DFE" w:rsidRPr="00696B5E">
        <w:rPr>
          <w:rFonts w:ascii="Arial" w:eastAsia="Times New Roman" w:hAnsi="Arial" w:cs="Arial"/>
          <w:sz w:val="18"/>
          <w:szCs w:val="18"/>
          <w:lang w:val="es-ES" w:eastAsia="es-ES"/>
        </w:rPr>
        <w:t>n</w:t>
      </w:r>
      <w:r w:rsidRPr="00696B5E">
        <w:rPr>
          <w:rFonts w:ascii="Arial" w:eastAsia="Times New Roman" w:hAnsi="Arial" w:cs="Arial"/>
          <w:sz w:val="18"/>
          <w:szCs w:val="18"/>
          <w:lang w:val="es-ES" w:eastAsia="es-ES"/>
        </w:rPr>
        <w:t xml:space="preserve"> ser convertidos en posiciones de los instrumentos subyacentes correspondientes. Los montos reportados corresponderán al valor de mercado de las posiciones nocionales reportadas. A </w:t>
      </w:r>
      <w:r w:rsidR="00C64BCE" w:rsidRPr="00696B5E">
        <w:rPr>
          <w:rFonts w:ascii="Arial" w:eastAsia="Times New Roman" w:hAnsi="Arial" w:cs="Arial"/>
          <w:sz w:val="18"/>
          <w:szCs w:val="18"/>
          <w:lang w:val="es-ES" w:eastAsia="es-ES"/>
        </w:rPr>
        <w:t>continuación,</w:t>
      </w:r>
      <w:r w:rsidRPr="00696B5E">
        <w:rPr>
          <w:rFonts w:ascii="Arial" w:eastAsia="Times New Roman" w:hAnsi="Arial" w:cs="Arial"/>
          <w:sz w:val="18"/>
          <w:szCs w:val="18"/>
          <w:lang w:val="es-ES" w:eastAsia="es-ES"/>
        </w:rPr>
        <w:t xml:space="preserve"> se presentan instrucciones referentes al tratamiento de algunos instrumentos específicos.</w:t>
      </w:r>
    </w:p>
    <w:p w14:paraId="5172EF1F"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414C5EFD" w14:textId="153C318B" w:rsidR="00165646" w:rsidRPr="00696B5E" w:rsidRDefault="00165646" w:rsidP="00E70315">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Futuros y Forwards sobre tasa de interés</w:t>
      </w:r>
      <w:r w:rsidR="005654FA" w:rsidRPr="00696B5E">
        <w:rPr>
          <w:rFonts w:ascii="Arial" w:eastAsia="Times New Roman" w:hAnsi="Arial" w:cs="Arial"/>
          <w:sz w:val="18"/>
          <w:szCs w:val="18"/>
          <w:lang w:val="es-ES" w:eastAsia="es-ES"/>
        </w:rPr>
        <w:t>.</w:t>
      </w:r>
    </w:p>
    <w:p w14:paraId="29E4EAE0"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4E135A7B" w14:textId="38AAC4F2" w:rsidR="00165646" w:rsidRPr="00696B5E" w:rsidRDefault="00165646" w:rsidP="00E70315">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Estos instrumentos deberán ser tratados como 2 posiciones nocionales en bonos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w:t>
      </w:r>
      <w:r w:rsidR="00361781" w:rsidRPr="00696B5E">
        <w:rPr>
          <w:rFonts w:ascii="Arial" w:eastAsia="Times New Roman" w:hAnsi="Arial" w:cs="Arial"/>
          <w:sz w:val="18"/>
          <w:szCs w:val="18"/>
          <w:lang w:val="es-ES" w:eastAsia="es-ES"/>
        </w:rPr>
        <w:t xml:space="preserve"> </w:t>
      </w:r>
      <w:r w:rsidRPr="00696B5E">
        <w:rPr>
          <w:rFonts w:ascii="Arial" w:eastAsia="Times New Roman" w:hAnsi="Arial" w:cs="Arial"/>
          <w:sz w:val="18"/>
          <w:szCs w:val="18"/>
          <w:lang w:val="es-ES" w:eastAsia="es-ES"/>
        </w:rPr>
        <w:t>Cuando la entidad vigilada vende un futuro sobre una tasa de interés o compra un forward sobre tasa de interés, es decir, que se compromete a pagar una tasa de interés durante un periodo de tiempo en el futuro, esta posición se descompone en:</w:t>
      </w:r>
    </w:p>
    <w:p w14:paraId="578308FC"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544E9054" w14:textId="77777777" w:rsidR="00361781" w:rsidRPr="00696B5E" w:rsidRDefault="00165646" w:rsidP="00E70315">
      <w:pPr>
        <w:pStyle w:val="Prrafodelista"/>
        <w:numPr>
          <w:ilvl w:val="0"/>
          <w:numId w:val="13"/>
        </w:numPr>
        <w:spacing w:after="0" w:line="240" w:lineRule="auto"/>
        <w:ind w:left="567" w:hanging="425"/>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Una posición nocional corta en un bono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xml:space="preserve"> con madurez residual igual al tiempo que resta hasta el inicio del contrato más el periodo efectivo de pago de la tasa de interés.</w:t>
      </w:r>
    </w:p>
    <w:p w14:paraId="69B002FB" w14:textId="6503BE54" w:rsidR="00165646" w:rsidRPr="00696B5E" w:rsidRDefault="00165646" w:rsidP="00E70315">
      <w:pPr>
        <w:pStyle w:val="Prrafodelista"/>
        <w:numPr>
          <w:ilvl w:val="0"/>
          <w:numId w:val="13"/>
        </w:numPr>
        <w:spacing w:after="0" w:line="240" w:lineRule="auto"/>
        <w:ind w:left="567" w:hanging="425"/>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Una posición nocional larga en un bono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xml:space="preserve"> con madurez residual igual al tiempo que resta hasta el inicio del contrato.</w:t>
      </w:r>
    </w:p>
    <w:p w14:paraId="206F475A"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8111E4F" w14:textId="77777777" w:rsidR="00165646" w:rsidRPr="00696B5E" w:rsidRDefault="00165646" w:rsidP="000B410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el caso contrario (la entidad compra un futuro o vende un FRA), la primera posición nocional descrita es larga y la segunda corta.</w:t>
      </w:r>
    </w:p>
    <w:p w14:paraId="73C4BC00" w14:textId="77777777" w:rsidR="00165646" w:rsidRPr="00696B5E" w:rsidRDefault="00165646" w:rsidP="000B410E">
      <w:pPr>
        <w:spacing w:after="0" w:line="240" w:lineRule="auto"/>
        <w:ind w:left="284"/>
        <w:jc w:val="both"/>
        <w:rPr>
          <w:rFonts w:ascii="Arial" w:eastAsia="Times New Roman" w:hAnsi="Arial" w:cs="Arial"/>
          <w:sz w:val="18"/>
          <w:szCs w:val="18"/>
          <w:lang w:val="es-ES" w:eastAsia="es-ES"/>
        </w:rPr>
      </w:pPr>
    </w:p>
    <w:p w14:paraId="5D6D3D24" w14:textId="77777777" w:rsidR="00165646" w:rsidRPr="00696B5E" w:rsidRDefault="00165646" w:rsidP="000B410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Para efectos de los futuros y forwards sobre variaciones de índices no accionarios les será aplicable lo establecido en el presente literal (i.e. futuro sobre inflación). </w:t>
      </w:r>
    </w:p>
    <w:p w14:paraId="32814B59" w14:textId="77777777" w:rsidR="00C8539B" w:rsidRPr="00696B5E" w:rsidRDefault="00C8539B" w:rsidP="003D1603">
      <w:pPr>
        <w:spacing w:after="0" w:line="240" w:lineRule="auto"/>
        <w:jc w:val="both"/>
        <w:rPr>
          <w:rFonts w:ascii="Arial" w:eastAsia="Times New Roman" w:hAnsi="Arial" w:cs="Arial"/>
          <w:sz w:val="18"/>
          <w:szCs w:val="18"/>
          <w:lang w:val="es-ES" w:eastAsia="es-ES"/>
        </w:rPr>
      </w:pPr>
    </w:p>
    <w:p w14:paraId="2B70616C" w14:textId="20A68F07"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Futuros, Forwards y Operaciones</w:t>
      </w:r>
      <w:r w:rsidR="00361781" w:rsidRPr="00696B5E">
        <w:rPr>
          <w:rFonts w:ascii="Arial" w:eastAsia="Times New Roman" w:hAnsi="Arial" w:cs="Arial"/>
          <w:sz w:val="18"/>
          <w:szCs w:val="18"/>
          <w:lang w:val="es-ES" w:eastAsia="es-ES"/>
        </w:rPr>
        <w:t xml:space="preserve"> a Plazo sobre títulos de deuda</w:t>
      </w:r>
      <w:r w:rsidR="005654FA" w:rsidRPr="00696B5E">
        <w:rPr>
          <w:rFonts w:ascii="Arial" w:eastAsia="Times New Roman" w:hAnsi="Arial" w:cs="Arial"/>
          <w:sz w:val="18"/>
          <w:szCs w:val="18"/>
          <w:lang w:val="es-ES" w:eastAsia="es-ES"/>
        </w:rPr>
        <w:t>.</w:t>
      </w:r>
    </w:p>
    <w:p w14:paraId="115633A5"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3307F864" w14:textId="77777777" w:rsidR="00165646" w:rsidRPr="00696B5E" w:rsidRDefault="00165646" w:rsidP="006437D7">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Estos instrumentos deberán ser tratados como 2 posiciones nocionales, una en el título subyacente y otra en un bono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xml:space="preserve">. Cuando la entidad tenga una posición larga en las operaciones de que trata el </w:t>
      </w:r>
      <w:r w:rsidRPr="00696B5E">
        <w:rPr>
          <w:rFonts w:ascii="Arial" w:eastAsia="Times New Roman" w:hAnsi="Arial" w:cs="Arial"/>
          <w:sz w:val="18"/>
          <w:szCs w:val="18"/>
          <w:lang w:val="es-ES" w:eastAsia="es-ES"/>
        </w:rPr>
        <w:lastRenderedPageBreak/>
        <w:t>presente literal (es decir que se compromete a comprar un título a un precio previamente establecido en un punto de tiempo en el futuro), esta posición se descompone en:</w:t>
      </w:r>
    </w:p>
    <w:p w14:paraId="53D0D7B0"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3B448B5F" w14:textId="77777777" w:rsidR="00361781" w:rsidRPr="00696B5E" w:rsidRDefault="00165646" w:rsidP="006437D7">
      <w:pPr>
        <w:pStyle w:val="Prrafodelista"/>
        <w:numPr>
          <w:ilvl w:val="0"/>
          <w:numId w:val="14"/>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larga en el título subyacente.</w:t>
      </w:r>
    </w:p>
    <w:p w14:paraId="33463470" w14:textId="2B142A3C" w:rsidR="00165646" w:rsidRPr="00696B5E" w:rsidRDefault="00165646" w:rsidP="006437D7">
      <w:pPr>
        <w:pStyle w:val="Prrafodelista"/>
        <w:numPr>
          <w:ilvl w:val="0"/>
          <w:numId w:val="14"/>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Una posición nocional corta en un bono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xml:space="preserve"> con madurez residual igual al tiempo que resta para el cumplimiento del contrato (el valor nominal de </w:t>
      </w:r>
      <w:r w:rsidR="00A6696A" w:rsidRPr="00696B5E">
        <w:rPr>
          <w:rFonts w:ascii="Arial" w:eastAsia="Times New Roman" w:hAnsi="Arial" w:cs="Arial"/>
          <w:sz w:val="18"/>
          <w:szCs w:val="18"/>
          <w:lang w:val="es-ES" w:eastAsia="es-ES"/>
        </w:rPr>
        <w:t>esta</w:t>
      </w:r>
      <w:r w:rsidRPr="00696B5E">
        <w:rPr>
          <w:rFonts w:ascii="Arial" w:eastAsia="Times New Roman" w:hAnsi="Arial" w:cs="Arial"/>
          <w:sz w:val="18"/>
          <w:szCs w:val="18"/>
          <w:lang w:val="es-ES" w:eastAsia="es-ES"/>
        </w:rPr>
        <w:t xml:space="preserve"> posición corresponde al precio pactado).</w:t>
      </w:r>
    </w:p>
    <w:p w14:paraId="27567D9D"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3C1DAA1B" w14:textId="77777777" w:rsidR="00165646" w:rsidRPr="00696B5E" w:rsidRDefault="00165646" w:rsidP="006437D7">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el caso contrario (posición corta en el futuro, el forward o la operación a plazo), la primera posición nocional descrita es corta y la segunda larga.</w:t>
      </w:r>
    </w:p>
    <w:p w14:paraId="59139EE1"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0C30C1B" w14:textId="77777777" w:rsidR="00165646" w:rsidRPr="00696B5E" w:rsidRDefault="00165646" w:rsidP="006437D7">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Cuando el título subyacente de la operación esté denominado en una moneda distinta a la legal, la primera posición nocional descrita deberá ser tenida en cuenta para calcular la exposición al riesgo de tasa de cambio.</w:t>
      </w:r>
    </w:p>
    <w:p w14:paraId="35B45701"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27A8A1E" w14:textId="15201A58" w:rsidR="00165646" w:rsidRPr="00696B5E" w:rsidRDefault="00165646" w:rsidP="006437D7">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En el caso de los futuros sobre bonos nocionales que se negocien en la Bolsa de Valores de Colombia, la posición nocional larga de que trata el presente literal será calculada cómo el cociente entre el valor a precios de mercado del “</w:t>
      </w:r>
      <w:proofErr w:type="spellStart"/>
      <w:r w:rsidRPr="00696B5E">
        <w:rPr>
          <w:rFonts w:ascii="Arial" w:eastAsia="Times New Roman" w:hAnsi="Arial" w:cs="Arial"/>
          <w:i/>
          <w:sz w:val="18"/>
          <w:szCs w:val="18"/>
          <w:lang w:val="es-ES" w:eastAsia="es-ES"/>
        </w:rPr>
        <w:t>cheapest</w:t>
      </w:r>
      <w:proofErr w:type="spellEnd"/>
      <w:r w:rsidRPr="00696B5E">
        <w:rPr>
          <w:rFonts w:ascii="Arial" w:eastAsia="Times New Roman" w:hAnsi="Arial" w:cs="Arial"/>
          <w:i/>
          <w:sz w:val="18"/>
          <w:szCs w:val="18"/>
          <w:lang w:val="es-ES" w:eastAsia="es-ES"/>
        </w:rPr>
        <w:t xml:space="preserve"> </w:t>
      </w:r>
      <w:proofErr w:type="spellStart"/>
      <w:r w:rsidRPr="00696B5E">
        <w:rPr>
          <w:rFonts w:ascii="Arial" w:eastAsia="Times New Roman" w:hAnsi="Arial" w:cs="Arial"/>
          <w:i/>
          <w:sz w:val="18"/>
          <w:szCs w:val="18"/>
          <w:lang w:val="es-ES" w:eastAsia="es-ES"/>
        </w:rPr>
        <w:t>to</w:t>
      </w:r>
      <w:proofErr w:type="spellEnd"/>
      <w:r w:rsidRPr="00696B5E">
        <w:rPr>
          <w:rFonts w:ascii="Arial" w:eastAsia="Times New Roman" w:hAnsi="Arial" w:cs="Arial"/>
          <w:i/>
          <w:sz w:val="18"/>
          <w:szCs w:val="18"/>
          <w:lang w:val="es-ES" w:eastAsia="es-ES"/>
        </w:rPr>
        <w:t xml:space="preserve"> </w:t>
      </w:r>
      <w:proofErr w:type="spellStart"/>
      <w:r w:rsidRPr="00696B5E">
        <w:rPr>
          <w:rFonts w:ascii="Arial" w:eastAsia="Times New Roman" w:hAnsi="Arial" w:cs="Arial"/>
          <w:i/>
          <w:sz w:val="18"/>
          <w:szCs w:val="18"/>
          <w:lang w:val="es-ES" w:eastAsia="es-ES"/>
        </w:rPr>
        <w:t>deliver</w:t>
      </w:r>
      <w:proofErr w:type="spellEnd"/>
      <w:r w:rsidRPr="00696B5E">
        <w:rPr>
          <w:rFonts w:ascii="Arial" w:eastAsia="Times New Roman" w:hAnsi="Arial" w:cs="Arial"/>
          <w:sz w:val="18"/>
          <w:szCs w:val="18"/>
          <w:lang w:val="es-ES" w:eastAsia="es-ES"/>
        </w:rPr>
        <w:t>” a la fecha de valoración respectiva y el factor de conversión definido por la Bolsa de Valores de Colombia.</w:t>
      </w:r>
    </w:p>
    <w:p w14:paraId="1211890D"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45C37DA1" w14:textId="0B9F5ED0" w:rsidR="00165646" w:rsidRPr="00696B5E" w:rsidRDefault="00165646" w:rsidP="006437D7">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este tipo de futuros sobre bonos nocionales, la posición nocional corta se definirá de acuerdo con las instrucciones señaladas en el presente literal.</w:t>
      </w:r>
    </w:p>
    <w:p w14:paraId="77B77562"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541F2005" w14:textId="4029AA8C"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Futuros, Forwards y Operaciones a Plazo sobre divisas.</w:t>
      </w:r>
    </w:p>
    <w:p w14:paraId="491C3D8D"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5B722CFA" w14:textId="77777777" w:rsidR="00165646" w:rsidRPr="00696B5E" w:rsidRDefault="00165646" w:rsidP="00CC6D56">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Estos instrumentos deberán ser tratados como 2 posiciones nocionales en bonos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xml:space="preserve"> en las monedas aplicables.</w:t>
      </w:r>
    </w:p>
    <w:p w14:paraId="46345C18"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155AC70" w14:textId="77777777" w:rsidR="00361781" w:rsidRPr="00696B5E" w:rsidRDefault="00165646" w:rsidP="00CC6D56">
      <w:pPr>
        <w:pStyle w:val="Prrafodelista"/>
        <w:numPr>
          <w:ilvl w:val="0"/>
          <w:numId w:val="15"/>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Una posición nocional larga en un bono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denominado en la moneda comprada y con una madurez residual igual al tiempo que resta para el cumplimiento del contrato.</w:t>
      </w:r>
    </w:p>
    <w:p w14:paraId="4D3DB80B" w14:textId="7C0517EB" w:rsidR="00165646" w:rsidRPr="00696B5E" w:rsidRDefault="00165646" w:rsidP="00CC6D56">
      <w:pPr>
        <w:pStyle w:val="Prrafodelista"/>
        <w:numPr>
          <w:ilvl w:val="0"/>
          <w:numId w:val="15"/>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Una posición nocional corta en un bono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denominado en la moneda vendida y con una madurez residual igual al tiempo que resta para el cumplimiento del contrato.</w:t>
      </w:r>
    </w:p>
    <w:p w14:paraId="53CA4CAB"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12EC31B0" w14:textId="5B0F3E99" w:rsidR="00165646" w:rsidRPr="00696B5E" w:rsidRDefault="00165646" w:rsidP="00CC6D56">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Estas posiciones deben ser tenidas en cuenta para calcular la exposición al riesgo de tasa de cambio.</w:t>
      </w:r>
    </w:p>
    <w:p w14:paraId="5522D54E" w14:textId="77777777" w:rsidR="0044173F" w:rsidRPr="00696B5E" w:rsidRDefault="0044173F" w:rsidP="005D006A">
      <w:pPr>
        <w:spacing w:after="0" w:line="240" w:lineRule="auto"/>
        <w:ind w:left="284" w:hanging="284"/>
        <w:jc w:val="both"/>
        <w:rPr>
          <w:rFonts w:ascii="Arial" w:eastAsia="Times New Roman" w:hAnsi="Arial" w:cs="Arial"/>
          <w:sz w:val="18"/>
          <w:szCs w:val="18"/>
          <w:lang w:val="es-ES" w:eastAsia="es-ES"/>
        </w:rPr>
      </w:pPr>
    </w:p>
    <w:p w14:paraId="0FB77492" w14:textId="175E9409"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Swaps de tasas de interés.</w:t>
      </w:r>
    </w:p>
    <w:p w14:paraId="0BFFC46F"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E1F7D0F" w14:textId="77777777" w:rsidR="00165646" w:rsidRPr="00696B5E" w:rsidRDefault="00165646" w:rsidP="00CC6D56">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Estos instrumentos deberán ser tratados como dos posiciones nocionales en bonos subyacentes en las tasas de interés respectivas. En este sentido la posición se descompone en:</w:t>
      </w:r>
    </w:p>
    <w:p w14:paraId="490DA521"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40D37598" w14:textId="77777777" w:rsidR="00361781" w:rsidRPr="00696B5E" w:rsidRDefault="00165646" w:rsidP="00CC6D56">
      <w:pPr>
        <w:pStyle w:val="Prrafodelista"/>
        <w:numPr>
          <w:ilvl w:val="0"/>
          <w:numId w:val="16"/>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larga en un título pactado a la tasa de interés que recibe la entidad.</w:t>
      </w:r>
    </w:p>
    <w:p w14:paraId="1FBCD223" w14:textId="6A7381B6" w:rsidR="00165646" w:rsidRPr="00696B5E" w:rsidRDefault="00165646" w:rsidP="00CC6D56">
      <w:pPr>
        <w:pStyle w:val="Prrafodelista"/>
        <w:numPr>
          <w:ilvl w:val="0"/>
          <w:numId w:val="16"/>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corta en un título pactado a la tasa de interés que la entidad paga.</w:t>
      </w:r>
    </w:p>
    <w:p w14:paraId="29D64555"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1C2EA5B3" w14:textId="783E5596" w:rsidR="00165646" w:rsidRPr="00696B5E" w:rsidRDefault="00165646" w:rsidP="00CC6D56">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Cuando la tasa de interés del instrumento subyacente sea fija, la madurez residual correspondiente será igual a la duración del contrato.  Para los casos en que la tasa de interés sea variable, la duración del flujo se</w:t>
      </w:r>
      <w:r w:rsidR="00307E8D" w:rsidRPr="00696B5E">
        <w:rPr>
          <w:rFonts w:ascii="Arial" w:eastAsia="Times New Roman" w:hAnsi="Arial" w:cs="Arial"/>
          <w:sz w:val="18"/>
          <w:szCs w:val="18"/>
          <w:lang w:val="es-ES" w:eastAsia="es-ES"/>
        </w:rPr>
        <w:t xml:space="preserve"> debe</w:t>
      </w:r>
      <w:r w:rsidRPr="00696B5E">
        <w:rPr>
          <w:rFonts w:ascii="Arial" w:eastAsia="Times New Roman" w:hAnsi="Arial" w:cs="Arial"/>
          <w:sz w:val="18"/>
          <w:szCs w:val="18"/>
          <w:lang w:val="es-ES" w:eastAsia="es-ES"/>
        </w:rPr>
        <w:t xml:space="preserve"> calcula</w:t>
      </w:r>
      <w:r w:rsidR="00307E8D" w:rsidRPr="00696B5E">
        <w:rPr>
          <w:rFonts w:ascii="Arial" w:eastAsia="Times New Roman" w:hAnsi="Arial" w:cs="Arial"/>
          <w:sz w:val="18"/>
          <w:szCs w:val="18"/>
          <w:lang w:val="es-ES" w:eastAsia="es-ES"/>
        </w:rPr>
        <w:t>r</w:t>
      </w:r>
      <w:r w:rsidRPr="00696B5E">
        <w:rPr>
          <w:rFonts w:ascii="Arial" w:eastAsia="Times New Roman" w:hAnsi="Arial" w:cs="Arial"/>
          <w:sz w:val="18"/>
          <w:szCs w:val="18"/>
          <w:lang w:val="es-ES" w:eastAsia="es-ES"/>
        </w:rPr>
        <w:t xml:space="preserve"> </w:t>
      </w:r>
      <w:proofErr w:type="gramStart"/>
      <w:r w:rsidRPr="00696B5E">
        <w:rPr>
          <w:rFonts w:ascii="Arial" w:eastAsia="Times New Roman" w:hAnsi="Arial" w:cs="Arial"/>
          <w:sz w:val="18"/>
          <w:szCs w:val="18"/>
          <w:lang w:val="es-ES" w:eastAsia="es-ES"/>
        </w:rPr>
        <w:t>de acuerdo a</w:t>
      </w:r>
      <w:proofErr w:type="gramEnd"/>
      <w:r w:rsidRPr="00696B5E">
        <w:rPr>
          <w:rFonts w:ascii="Arial" w:eastAsia="Times New Roman" w:hAnsi="Arial" w:cs="Arial"/>
          <w:sz w:val="18"/>
          <w:szCs w:val="18"/>
          <w:lang w:val="es-ES" w:eastAsia="es-ES"/>
        </w:rPr>
        <w:t xml:space="preserve"> lo estipulado en el </w:t>
      </w:r>
      <w:proofErr w:type="spellStart"/>
      <w:r w:rsidR="00DA719F" w:rsidRPr="00696B5E">
        <w:rPr>
          <w:rFonts w:ascii="Arial" w:eastAsia="Times New Roman" w:hAnsi="Arial" w:cs="Arial"/>
          <w:sz w:val="18"/>
          <w:szCs w:val="18"/>
          <w:lang w:val="es-ES" w:eastAsia="es-ES"/>
        </w:rPr>
        <w:t>sub</w:t>
      </w:r>
      <w:r w:rsidRPr="00696B5E">
        <w:rPr>
          <w:rFonts w:ascii="Arial" w:eastAsia="Times New Roman" w:hAnsi="Arial" w:cs="Arial"/>
          <w:sz w:val="18"/>
          <w:szCs w:val="18"/>
          <w:lang w:val="es-ES" w:eastAsia="es-ES"/>
        </w:rPr>
        <w:t>numeral</w:t>
      </w:r>
      <w:proofErr w:type="spellEnd"/>
      <w:r w:rsidRPr="00696B5E">
        <w:rPr>
          <w:rFonts w:ascii="Arial" w:eastAsia="Times New Roman" w:hAnsi="Arial" w:cs="Arial"/>
          <w:sz w:val="18"/>
          <w:szCs w:val="18"/>
          <w:lang w:val="es-ES" w:eastAsia="es-ES"/>
        </w:rPr>
        <w:t xml:space="preserve"> 2.1.2.1 del Anexo </w:t>
      </w:r>
      <w:r w:rsidR="007A7610" w:rsidRPr="00696B5E">
        <w:rPr>
          <w:rFonts w:ascii="Arial" w:eastAsia="Times New Roman" w:hAnsi="Arial" w:cs="Arial"/>
          <w:sz w:val="18"/>
          <w:szCs w:val="18"/>
          <w:lang w:val="es-ES" w:eastAsia="es-ES"/>
        </w:rPr>
        <w:t xml:space="preserve">6 </w:t>
      </w:r>
      <w:r w:rsidR="00C73C7B" w:rsidRPr="00696B5E">
        <w:rPr>
          <w:rFonts w:ascii="Arial" w:eastAsia="Times New Roman" w:hAnsi="Arial" w:cs="Arial"/>
          <w:sz w:val="18"/>
          <w:szCs w:val="18"/>
          <w:lang w:val="es-ES" w:eastAsia="es-ES"/>
        </w:rPr>
        <w:t>del presente C</w:t>
      </w:r>
      <w:r w:rsidRPr="00696B5E">
        <w:rPr>
          <w:rFonts w:ascii="Arial" w:eastAsia="Times New Roman" w:hAnsi="Arial" w:cs="Arial"/>
          <w:sz w:val="18"/>
          <w:szCs w:val="18"/>
          <w:lang w:val="es-ES" w:eastAsia="es-ES"/>
        </w:rPr>
        <w:t>apítulo.</w:t>
      </w:r>
    </w:p>
    <w:p w14:paraId="44977302" w14:textId="2261E5CD"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0123E94D" w14:textId="787B122D" w:rsidR="00165646" w:rsidRPr="00696B5E" w:rsidRDefault="00165646" w:rsidP="00CC6D56">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En el caso de swaps que involucren posiciones en distintas monedas (</w:t>
      </w:r>
      <w:proofErr w:type="spellStart"/>
      <w:r w:rsidRPr="00696B5E">
        <w:rPr>
          <w:rFonts w:ascii="Arial" w:eastAsia="Times New Roman" w:hAnsi="Arial" w:cs="Arial"/>
          <w:i/>
          <w:sz w:val="18"/>
          <w:szCs w:val="18"/>
          <w:lang w:val="es-ES" w:eastAsia="es-ES"/>
        </w:rPr>
        <w:t>cross</w:t>
      </w:r>
      <w:proofErr w:type="spellEnd"/>
      <w:r w:rsidRPr="00696B5E">
        <w:rPr>
          <w:rFonts w:ascii="Arial" w:eastAsia="Times New Roman" w:hAnsi="Arial" w:cs="Arial"/>
          <w:i/>
          <w:sz w:val="18"/>
          <w:szCs w:val="18"/>
          <w:lang w:val="es-ES" w:eastAsia="es-ES"/>
        </w:rPr>
        <w:t xml:space="preserve"> </w:t>
      </w:r>
      <w:proofErr w:type="spellStart"/>
      <w:r w:rsidRPr="00696B5E">
        <w:rPr>
          <w:rFonts w:ascii="Arial" w:eastAsia="Times New Roman" w:hAnsi="Arial" w:cs="Arial"/>
          <w:i/>
          <w:sz w:val="18"/>
          <w:szCs w:val="18"/>
          <w:lang w:val="es-ES" w:eastAsia="es-ES"/>
        </w:rPr>
        <w:t>currency</w:t>
      </w:r>
      <w:proofErr w:type="spellEnd"/>
      <w:r w:rsidRPr="00696B5E">
        <w:rPr>
          <w:rFonts w:ascii="Arial" w:eastAsia="Times New Roman" w:hAnsi="Arial" w:cs="Arial"/>
          <w:i/>
          <w:sz w:val="18"/>
          <w:szCs w:val="18"/>
          <w:lang w:val="es-ES" w:eastAsia="es-ES"/>
        </w:rPr>
        <w:t xml:space="preserve"> swaps</w:t>
      </w:r>
      <w:r w:rsidRPr="00696B5E">
        <w:rPr>
          <w:rFonts w:ascii="Arial" w:eastAsia="Times New Roman" w:hAnsi="Arial" w:cs="Arial"/>
          <w:sz w:val="18"/>
          <w:szCs w:val="18"/>
          <w:lang w:val="es-ES" w:eastAsia="es-ES"/>
        </w:rPr>
        <w:t>) cada una de las posiciones debe ser tenida en cuenta para calcular la exposición al riesgo de tasa de cambio.</w:t>
      </w:r>
    </w:p>
    <w:p w14:paraId="59B9CCB8"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47EF8CF4" w14:textId="4D5CF8BF" w:rsidR="00165646" w:rsidRDefault="00165646" w:rsidP="009A45D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efectos de los futuros cuya estructura se asemeje a intercambios de flujos calculados sobre tasas de interés les será aplicable lo establecido en el presente literal (i.e. futuro sobre IBR).</w:t>
      </w:r>
    </w:p>
    <w:p w14:paraId="02BF9FC4" w14:textId="706C7B26" w:rsidR="00DA295A" w:rsidRDefault="00DA295A" w:rsidP="009A45DE">
      <w:pPr>
        <w:spacing w:after="0" w:line="240" w:lineRule="auto"/>
        <w:ind w:left="284"/>
        <w:jc w:val="both"/>
        <w:rPr>
          <w:rFonts w:ascii="Arial" w:eastAsia="Times New Roman" w:hAnsi="Arial" w:cs="Arial"/>
          <w:sz w:val="18"/>
          <w:szCs w:val="18"/>
          <w:lang w:val="es-ES" w:eastAsia="es-ES"/>
        </w:rPr>
      </w:pPr>
    </w:p>
    <w:p w14:paraId="7E3B850C" w14:textId="044E1122" w:rsidR="00DA295A" w:rsidRDefault="00D6146B" w:rsidP="00FB7D45">
      <w:pPr>
        <w:pBdr>
          <w:left w:val="single" w:sz="4" w:space="4" w:color="auto"/>
        </w:pBdr>
        <w:spacing w:after="0" w:line="240" w:lineRule="auto"/>
        <w:ind w:left="284"/>
        <w:jc w:val="both"/>
        <w:rPr>
          <w:rFonts w:ascii="Arial" w:eastAsia="Times New Roman" w:hAnsi="Arial" w:cs="Arial"/>
          <w:b/>
          <w:sz w:val="18"/>
          <w:szCs w:val="18"/>
          <w:lang w:val="es-MX" w:eastAsia="es-ES"/>
        </w:rPr>
      </w:pPr>
      <w:r>
        <w:rPr>
          <w:rFonts w:ascii="Arial" w:eastAsia="Times New Roman" w:hAnsi="Arial" w:cs="Arial"/>
          <w:b/>
          <w:sz w:val="18"/>
          <w:szCs w:val="18"/>
          <w:lang w:val="es-MX" w:eastAsia="es-ES"/>
        </w:rPr>
        <w:t xml:space="preserve">Los </w:t>
      </w:r>
      <w:r w:rsidR="00DA295A" w:rsidRPr="00DA295A">
        <w:rPr>
          <w:rFonts w:ascii="Arial" w:eastAsia="Times New Roman" w:hAnsi="Arial" w:cs="Arial"/>
          <w:b/>
          <w:sz w:val="18"/>
          <w:szCs w:val="18"/>
          <w:lang w:val="es-MX" w:eastAsia="es-ES"/>
        </w:rPr>
        <w:t>derivados de crédito que involucren el intercambio de los flujos completos de un activo por una tasa de interés pactada (</w:t>
      </w:r>
      <w:r w:rsidR="00DA295A" w:rsidRPr="00DA295A">
        <w:rPr>
          <w:rFonts w:ascii="Arial" w:eastAsia="Times New Roman" w:hAnsi="Arial" w:cs="Arial"/>
          <w:b/>
          <w:i/>
          <w:sz w:val="18"/>
          <w:szCs w:val="18"/>
          <w:lang w:val="es-MX" w:eastAsia="es-ES"/>
        </w:rPr>
        <w:t xml:space="preserve">Total </w:t>
      </w:r>
      <w:proofErr w:type="spellStart"/>
      <w:r w:rsidR="00DA295A" w:rsidRPr="00DA295A">
        <w:rPr>
          <w:rFonts w:ascii="Arial" w:eastAsia="Times New Roman" w:hAnsi="Arial" w:cs="Arial"/>
          <w:b/>
          <w:i/>
          <w:sz w:val="18"/>
          <w:szCs w:val="18"/>
          <w:lang w:val="es-MX" w:eastAsia="es-ES"/>
        </w:rPr>
        <w:t>Return</w:t>
      </w:r>
      <w:proofErr w:type="spellEnd"/>
      <w:r w:rsidR="00DA295A" w:rsidRPr="00DA295A">
        <w:rPr>
          <w:rFonts w:ascii="Arial" w:eastAsia="Times New Roman" w:hAnsi="Arial" w:cs="Arial"/>
          <w:b/>
          <w:i/>
          <w:sz w:val="18"/>
          <w:szCs w:val="18"/>
          <w:lang w:val="es-MX" w:eastAsia="es-ES"/>
        </w:rPr>
        <w:t xml:space="preserve"> Swaps), </w:t>
      </w:r>
      <w:r w:rsidR="00DA295A" w:rsidRPr="00DA295A">
        <w:rPr>
          <w:rFonts w:ascii="Arial" w:eastAsia="Times New Roman" w:hAnsi="Arial" w:cs="Arial"/>
          <w:b/>
          <w:sz w:val="18"/>
          <w:szCs w:val="18"/>
          <w:lang w:val="es-MX" w:eastAsia="es-ES"/>
        </w:rPr>
        <w:t>deberán ser tratados como dos posiciones nocionales separadas</w:t>
      </w:r>
      <w:r>
        <w:rPr>
          <w:rFonts w:ascii="Arial" w:eastAsia="Times New Roman" w:hAnsi="Arial" w:cs="Arial"/>
          <w:b/>
          <w:sz w:val="18"/>
          <w:szCs w:val="18"/>
          <w:lang w:val="es-MX" w:eastAsia="es-ES"/>
        </w:rPr>
        <w:t>, así</w:t>
      </w:r>
      <w:r w:rsidR="00DA295A" w:rsidRPr="00DA295A">
        <w:rPr>
          <w:rFonts w:ascii="Arial" w:eastAsia="Times New Roman" w:hAnsi="Arial" w:cs="Arial"/>
          <w:b/>
          <w:sz w:val="18"/>
          <w:szCs w:val="18"/>
          <w:lang w:val="es-MX" w:eastAsia="es-ES"/>
        </w:rPr>
        <w:t xml:space="preserve">: </w:t>
      </w:r>
    </w:p>
    <w:p w14:paraId="09F71FAE" w14:textId="7A0E27B4" w:rsidR="00DA295A" w:rsidRDefault="00DA295A" w:rsidP="00FB7D45">
      <w:pPr>
        <w:pBdr>
          <w:left w:val="single" w:sz="4" w:space="4" w:color="auto"/>
        </w:pBdr>
        <w:spacing w:after="0" w:line="240" w:lineRule="auto"/>
        <w:ind w:left="284"/>
        <w:jc w:val="both"/>
        <w:rPr>
          <w:rFonts w:ascii="Arial" w:eastAsia="Times New Roman" w:hAnsi="Arial" w:cs="Arial"/>
          <w:b/>
          <w:sz w:val="18"/>
          <w:szCs w:val="18"/>
          <w:lang w:val="es-MX" w:eastAsia="es-ES"/>
        </w:rPr>
      </w:pPr>
    </w:p>
    <w:p w14:paraId="1314A9AB" w14:textId="6FB70E7E" w:rsidR="00DA295A" w:rsidRDefault="00DA295A" w:rsidP="00FB7D45">
      <w:pPr>
        <w:pStyle w:val="Prrafodelista"/>
        <w:numPr>
          <w:ilvl w:val="0"/>
          <w:numId w:val="30"/>
        </w:numPr>
        <w:pBdr>
          <w:left w:val="single" w:sz="4" w:space="4" w:color="auto"/>
        </w:pBdr>
        <w:ind w:left="567" w:hanging="283"/>
        <w:jc w:val="both"/>
        <w:rPr>
          <w:rFonts w:ascii="Arial" w:eastAsia="Times New Roman" w:hAnsi="Arial" w:cs="Arial"/>
          <w:b/>
          <w:sz w:val="18"/>
          <w:szCs w:val="18"/>
          <w:lang w:val="es-MX" w:eastAsia="es-ES"/>
        </w:rPr>
      </w:pPr>
      <w:r w:rsidRPr="00DA295A">
        <w:rPr>
          <w:rFonts w:ascii="Arial" w:eastAsia="Times New Roman" w:hAnsi="Arial" w:cs="Arial"/>
          <w:b/>
          <w:sz w:val="18"/>
          <w:szCs w:val="18"/>
          <w:lang w:val="es-MX" w:eastAsia="es-ES"/>
        </w:rPr>
        <w:t>Una posición nocional larga</w:t>
      </w:r>
      <w:r w:rsidR="00847474">
        <w:rPr>
          <w:rFonts w:ascii="Arial" w:eastAsia="Times New Roman" w:hAnsi="Arial" w:cs="Arial"/>
          <w:b/>
          <w:sz w:val="18"/>
          <w:szCs w:val="18"/>
          <w:lang w:val="es-MX" w:eastAsia="es-ES"/>
        </w:rPr>
        <w:t xml:space="preserve"> o corta</w:t>
      </w:r>
      <w:r w:rsidRPr="00DA295A">
        <w:rPr>
          <w:rFonts w:ascii="Arial" w:eastAsia="Times New Roman" w:hAnsi="Arial" w:cs="Arial"/>
          <w:b/>
          <w:sz w:val="18"/>
          <w:szCs w:val="18"/>
          <w:lang w:val="es-MX" w:eastAsia="es-ES"/>
        </w:rPr>
        <w:t xml:space="preserve"> en el título de referencia </w:t>
      </w:r>
      <w:r w:rsidR="007339B9">
        <w:rPr>
          <w:rFonts w:ascii="Arial" w:eastAsia="Times New Roman" w:hAnsi="Arial" w:cs="Arial"/>
          <w:b/>
          <w:sz w:val="18"/>
          <w:szCs w:val="18"/>
          <w:lang w:val="es-MX" w:eastAsia="es-ES"/>
        </w:rPr>
        <w:t xml:space="preserve">(subyacente del derivado) </w:t>
      </w:r>
      <w:r w:rsidRPr="00DA295A">
        <w:rPr>
          <w:rFonts w:ascii="Arial" w:eastAsia="Times New Roman" w:hAnsi="Arial" w:cs="Arial"/>
          <w:b/>
          <w:sz w:val="18"/>
          <w:szCs w:val="18"/>
          <w:lang w:val="es-MX" w:eastAsia="es-ES"/>
        </w:rPr>
        <w:t>que recibe o paga la entidad.</w:t>
      </w:r>
    </w:p>
    <w:p w14:paraId="2E749279" w14:textId="77777777" w:rsidR="00DA295A" w:rsidRPr="00DA295A" w:rsidRDefault="00DA295A" w:rsidP="00FB7D45">
      <w:pPr>
        <w:pStyle w:val="Prrafodelista"/>
        <w:pBdr>
          <w:left w:val="single" w:sz="4" w:space="4" w:color="auto"/>
        </w:pBdr>
        <w:ind w:left="567" w:hanging="283"/>
        <w:jc w:val="both"/>
        <w:rPr>
          <w:rFonts w:ascii="Arial" w:eastAsia="Times New Roman" w:hAnsi="Arial" w:cs="Arial"/>
          <w:b/>
          <w:sz w:val="18"/>
          <w:szCs w:val="18"/>
          <w:lang w:val="es-MX" w:eastAsia="es-ES"/>
        </w:rPr>
      </w:pPr>
    </w:p>
    <w:p w14:paraId="0CBD4FA1" w14:textId="0829D4E6" w:rsidR="00DA295A" w:rsidRPr="00004103" w:rsidRDefault="00DA295A" w:rsidP="00FB7D45">
      <w:pPr>
        <w:pStyle w:val="Prrafodelista"/>
        <w:numPr>
          <w:ilvl w:val="0"/>
          <w:numId w:val="30"/>
        </w:numPr>
        <w:pBdr>
          <w:left w:val="single" w:sz="4" w:space="4" w:color="auto"/>
        </w:pBdr>
        <w:ind w:left="567" w:hanging="283"/>
        <w:jc w:val="both"/>
        <w:rPr>
          <w:rFonts w:ascii="Arial" w:eastAsia="Times New Roman" w:hAnsi="Arial" w:cs="Arial"/>
          <w:b/>
          <w:sz w:val="18"/>
          <w:szCs w:val="18"/>
          <w:lang w:val="es-MX" w:eastAsia="es-ES"/>
        </w:rPr>
      </w:pPr>
      <w:r w:rsidRPr="00DA295A">
        <w:rPr>
          <w:rFonts w:ascii="Arial" w:eastAsia="Times New Roman" w:hAnsi="Arial" w:cs="Arial"/>
          <w:b/>
          <w:sz w:val="18"/>
          <w:szCs w:val="18"/>
          <w:lang w:val="es-MX" w:eastAsia="es-ES"/>
        </w:rPr>
        <w:t xml:space="preserve">Una posición nocional </w:t>
      </w:r>
      <w:r w:rsidR="00D711B7">
        <w:rPr>
          <w:rFonts w:ascii="Arial" w:eastAsia="Times New Roman" w:hAnsi="Arial" w:cs="Arial"/>
          <w:b/>
          <w:sz w:val="18"/>
          <w:szCs w:val="18"/>
          <w:lang w:val="es-MX" w:eastAsia="es-ES"/>
        </w:rPr>
        <w:t xml:space="preserve">larga o </w:t>
      </w:r>
      <w:r w:rsidRPr="00DA295A">
        <w:rPr>
          <w:rFonts w:ascii="Arial" w:eastAsia="Times New Roman" w:hAnsi="Arial" w:cs="Arial"/>
          <w:b/>
          <w:sz w:val="18"/>
          <w:szCs w:val="18"/>
          <w:lang w:val="es-MX" w:eastAsia="es-ES"/>
        </w:rPr>
        <w:t>corta en un título pactado a la tasa de interés que la entidad recibe</w:t>
      </w:r>
      <w:r w:rsidR="00D711B7">
        <w:rPr>
          <w:rFonts w:ascii="Arial" w:eastAsia="Times New Roman" w:hAnsi="Arial" w:cs="Arial"/>
          <w:b/>
          <w:sz w:val="18"/>
          <w:szCs w:val="18"/>
          <w:lang w:val="es-MX" w:eastAsia="es-ES"/>
        </w:rPr>
        <w:t xml:space="preserve"> o paga</w:t>
      </w:r>
      <w:r w:rsidRPr="00DA295A">
        <w:rPr>
          <w:rFonts w:ascii="Arial" w:eastAsia="Times New Roman" w:hAnsi="Arial" w:cs="Arial"/>
          <w:b/>
          <w:sz w:val="18"/>
          <w:szCs w:val="18"/>
          <w:lang w:val="es-MX" w:eastAsia="es-ES"/>
        </w:rPr>
        <w:t xml:space="preserve">. </w:t>
      </w:r>
    </w:p>
    <w:p w14:paraId="4BFF5757" w14:textId="41F3F156" w:rsidR="00165646" w:rsidRDefault="00DA295A" w:rsidP="00FB7D45">
      <w:pPr>
        <w:pBdr>
          <w:left w:val="single" w:sz="4" w:space="4" w:color="auto"/>
        </w:pBdr>
        <w:spacing w:after="0" w:line="240" w:lineRule="auto"/>
        <w:ind w:left="284"/>
        <w:jc w:val="both"/>
        <w:rPr>
          <w:rFonts w:ascii="Arial" w:eastAsia="Times New Roman" w:hAnsi="Arial" w:cs="Arial"/>
          <w:b/>
          <w:bCs/>
          <w:sz w:val="18"/>
          <w:szCs w:val="18"/>
          <w:lang w:val="es-ES" w:eastAsia="es-ES"/>
        </w:rPr>
      </w:pPr>
      <w:r w:rsidRPr="00004103">
        <w:rPr>
          <w:rFonts w:ascii="Arial" w:eastAsia="Times New Roman" w:hAnsi="Arial" w:cs="Arial"/>
          <w:b/>
          <w:bCs/>
          <w:sz w:val="18"/>
          <w:szCs w:val="18"/>
          <w:lang w:val="es-ES" w:eastAsia="es-ES"/>
        </w:rPr>
        <w:t xml:space="preserve">Dependiendo de la naturaleza del título subyacente, se deberá aplicar el factor de riesgo correspondiente </w:t>
      </w:r>
      <w:r w:rsidR="005C3F24">
        <w:rPr>
          <w:rFonts w:ascii="Arial" w:eastAsia="Times New Roman" w:hAnsi="Arial" w:cs="Arial"/>
          <w:b/>
          <w:bCs/>
          <w:sz w:val="18"/>
          <w:szCs w:val="18"/>
          <w:lang w:val="es-ES" w:eastAsia="es-ES"/>
        </w:rPr>
        <w:t xml:space="preserve">de acuerdo con lo previsto en el presente </w:t>
      </w:r>
      <w:r w:rsidR="00D6146B">
        <w:rPr>
          <w:rFonts w:ascii="Arial" w:eastAsia="Times New Roman" w:hAnsi="Arial" w:cs="Arial"/>
          <w:b/>
          <w:bCs/>
          <w:sz w:val="18"/>
          <w:szCs w:val="18"/>
          <w:lang w:val="es-ES" w:eastAsia="es-ES"/>
        </w:rPr>
        <w:t>A</w:t>
      </w:r>
      <w:r w:rsidR="005C3F24">
        <w:rPr>
          <w:rFonts w:ascii="Arial" w:eastAsia="Times New Roman" w:hAnsi="Arial" w:cs="Arial"/>
          <w:b/>
          <w:bCs/>
          <w:sz w:val="18"/>
          <w:szCs w:val="18"/>
          <w:lang w:val="es-ES" w:eastAsia="es-ES"/>
        </w:rPr>
        <w:t>nexo</w:t>
      </w:r>
      <w:r w:rsidRPr="00004103">
        <w:rPr>
          <w:rFonts w:ascii="Arial" w:eastAsia="Times New Roman" w:hAnsi="Arial" w:cs="Arial"/>
          <w:b/>
          <w:bCs/>
          <w:sz w:val="18"/>
          <w:szCs w:val="18"/>
          <w:lang w:val="es-ES" w:eastAsia="es-ES"/>
        </w:rPr>
        <w:t xml:space="preserve">.  </w:t>
      </w:r>
    </w:p>
    <w:p w14:paraId="2CDF63A4" w14:textId="77777777" w:rsidR="00DA295A" w:rsidRPr="00004103" w:rsidRDefault="00DA295A" w:rsidP="00CC79FE">
      <w:pPr>
        <w:spacing w:after="0" w:line="240" w:lineRule="auto"/>
        <w:jc w:val="both"/>
        <w:rPr>
          <w:rFonts w:ascii="Arial" w:eastAsia="Times New Roman" w:hAnsi="Arial" w:cs="Arial"/>
          <w:b/>
          <w:bCs/>
          <w:sz w:val="18"/>
          <w:szCs w:val="18"/>
          <w:lang w:val="es-ES" w:eastAsia="es-ES"/>
        </w:rPr>
      </w:pPr>
    </w:p>
    <w:p w14:paraId="1DC67142" w14:textId="51ABE8E7"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Futuros, Forwards y Operaciones a Plazo sobre acciones (o índices de acciones).</w:t>
      </w:r>
    </w:p>
    <w:p w14:paraId="60F3C3D8"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02AD31A1" w14:textId="0D3DD914" w:rsidR="00165646" w:rsidRPr="00696B5E" w:rsidRDefault="00165646" w:rsidP="009A45D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lastRenderedPageBreak/>
        <w:t xml:space="preserve">Estas operaciones deben descomponerse en </w:t>
      </w:r>
      <w:r w:rsidR="001B396F" w:rsidRPr="00696B5E">
        <w:rPr>
          <w:rFonts w:ascii="Arial" w:eastAsia="Times New Roman" w:hAnsi="Arial" w:cs="Arial"/>
          <w:sz w:val="18"/>
          <w:szCs w:val="18"/>
          <w:lang w:val="es-ES" w:eastAsia="es-ES"/>
        </w:rPr>
        <w:t>2</w:t>
      </w:r>
      <w:r w:rsidRPr="00696B5E">
        <w:rPr>
          <w:rFonts w:ascii="Arial" w:eastAsia="Times New Roman" w:hAnsi="Arial" w:cs="Arial"/>
          <w:sz w:val="18"/>
          <w:szCs w:val="18"/>
          <w:lang w:val="es-ES" w:eastAsia="es-ES"/>
        </w:rPr>
        <w:t xml:space="preserve"> posiciones nocionales, una correspondiente a la acción (o índice de acciones) subyacente y otra correspondiente a un bono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xml:space="preserve"> con madurez residual igual al tiempo remanente para el cumplimiento del contrato.</w:t>
      </w:r>
    </w:p>
    <w:p w14:paraId="4955A024"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5028D403" w14:textId="2B23CD06" w:rsidR="00165646" w:rsidRPr="00696B5E" w:rsidRDefault="00165646" w:rsidP="009A45D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Cuando la entidad tenga una posición larga en las operaciones señaladas en el presente literal (es decir que se compromete a comprar una acción o índice de acciones a un precio previamente establecido en un punto de tiempo en el futuro), esta posición se descompone en:</w:t>
      </w:r>
    </w:p>
    <w:p w14:paraId="177D22EB" w14:textId="77777777" w:rsidR="00CA73F5" w:rsidRPr="00696B5E" w:rsidRDefault="00CA73F5" w:rsidP="005D006A">
      <w:pPr>
        <w:spacing w:after="0" w:line="240" w:lineRule="auto"/>
        <w:ind w:left="284" w:hanging="284"/>
        <w:jc w:val="both"/>
        <w:rPr>
          <w:rFonts w:ascii="Arial" w:eastAsia="Times New Roman" w:hAnsi="Arial" w:cs="Arial"/>
          <w:sz w:val="18"/>
          <w:szCs w:val="18"/>
          <w:lang w:val="es-ES" w:eastAsia="es-ES"/>
        </w:rPr>
      </w:pPr>
    </w:p>
    <w:p w14:paraId="5C08D606" w14:textId="77777777" w:rsidR="00361781" w:rsidRPr="00696B5E" w:rsidRDefault="00165646" w:rsidP="009A45DE">
      <w:pPr>
        <w:pStyle w:val="Prrafodelista"/>
        <w:numPr>
          <w:ilvl w:val="0"/>
          <w:numId w:val="17"/>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larga en el título subyacente.</w:t>
      </w:r>
    </w:p>
    <w:p w14:paraId="2AEAB499" w14:textId="5A078031" w:rsidR="00165646" w:rsidRPr="00696B5E" w:rsidRDefault="00165646" w:rsidP="009A45DE">
      <w:pPr>
        <w:pStyle w:val="Prrafodelista"/>
        <w:numPr>
          <w:ilvl w:val="0"/>
          <w:numId w:val="17"/>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Una posición nocional corta en un bono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xml:space="preserve"> con madurez residual igual al tiempo que resta para el cumplimiento del contrato (el valor nominal de esta posición corresponde al precio pactado).</w:t>
      </w:r>
    </w:p>
    <w:p w14:paraId="03E3C266" w14:textId="77777777" w:rsidR="00736223" w:rsidRPr="00696B5E" w:rsidRDefault="00736223" w:rsidP="009A45DE">
      <w:pPr>
        <w:spacing w:after="0" w:line="240" w:lineRule="auto"/>
        <w:ind w:left="284"/>
        <w:jc w:val="both"/>
        <w:rPr>
          <w:rFonts w:ascii="Arial" w:eastAsia="Times New Roman" w:hAnsi="Arial" w:cs="Arial"/>
          <w:sz w:val="18"/>
          <w:szCs w:val="18"/>
          <w:lang w:val="es-ES" w:eastAsia="es-ES"/>
        </w:rPr>
      </w:pPr>
    </w:p>
    <w:p w14:paraId="0895C528" w14:textId="304C8DAC" w:rsidR="00165646" w:rsidRPr="00696B5E" w:rsidRDefault="00165646" w:rsidP="009A45D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el caso contrario (posición corta en el futuro, el forward o la operación a plazo), la primera posición nocional descrita es corta y la segunda larga.</w:t>
      </w:r>
    </w:p>
    <w:p w14:paraId="74B94028"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01DF3A51" w14:textId="77777777" w:rsidR="00165646" w:rsidRPr="00696B5E" w:rsidRDefault="00165646" w:rsidP="009A45D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Sólo la posición en el bono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xml:space="preserve"> computará en el cálculo de riesgo de tasa de interés. La posición en acciones estará sujeta al factor de riesgo de precio de acciones.</w:t>
      </w:r>
    </w:p>
    <w:p w14:paraId="2F7732F0"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0AE9F064" w14:textId="1268B97B"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Operaciones Carrusel</w:t>
      </w:r>
      <w:r w:rsidR="00593020" w:rsidRPr="00696B5E">
        <w:rPr>
          <w:rFonts w:ascii="Arial" w:eastAsia="Times New Roman" w:hAnsi="Arial" w:cs="Arial"/>
          <w:sz w:val="18"/>
          <w:szCs w:val="18"/>
          <w:lang w:val="es-ES" w:eastAsia="es-ES"/>
        </w:rPr>
        <w:t>.</w:t>
      </w:r>
    </w:p>
    <w:p w14:paraId="4BB7DF94"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80913E5" w14:textId="355284C5" w:rsidR="00165646" w:rsidRPr="00696B5E" w:rsidRDefault="00165646" w:rsidP="00F83582">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En términos financieros, un carrusel consiste en una secuencia de operaciones de compra y venta de un título a futuro. Por lo anterior, para efectos de la exposición a riesgos de me</w:t>
      </w:r>
      <w:r w:rsidR="00C73C7B" w:rsidRPr="00696B5E">
        <w:rPr>
          <w:rFonts w:ascii="Arial" w:eastAsia="Times New Roman" w:hAnsi="Arial" w:cs="Arial"/>
          <w:sz w:val="18"/>
          <w:szCs w:val="18"/>
          <w:lang w:val="es-ES" w:eastAsia="es-ES"/>
        </w:rPr>
        <w:t>rcado de que trata el presente C</w:t>
      </w:r>
      <w:r w:rsidRPr="00696B5E">
        <w:rPr>
          <w:rFonts w:ascii="Arial" w:eastAsia="Times New Roman" w:hAnsi="Arial" w:cs="Arial"/>
          <w:sz w:val="18"/>
          <w:szCs w:val="18"/>
          <w:lang w:val="es-ES" w:eastAsia="es-ES"/>
        </w:rPr>
        <w:t xml:space="preserve">apítulo, estas operaciones deben ser tratadas como una serie de operaciones de compra y venta a futuro del título subyacente. Cada una de estas operaciones debe ser tratada </w:t>
      </w:r>
      <w:proofErr w:type="gramStart"/>
      <w:r w:rsidRPr="00696B5E">
        <w:rPr>
          <w:rFonts w:ascii="Arial" w:eastAsia="Times New Roman" w:hAnsi="Arial" w:cs="Arial"/>
          <w:sz w:val="18"/>
          <w:szCs w:val="18"/>
          <w:lang w:val="es-ES" w:eastAsia="es-ES"/>
        </w:rPr>
        <w:t>de acuerdo a</w:t>
      </w:r>
      <w:proofErr w:type="gramEnd"/>
      <w:r w:rsidRPr="00696B5E">
        <w:rPr>
          <w:rFonts w:ascii="Arial" w:eastAsia="Times New Roman" w:hAnsi="Arial" w:cs="Arial"/>
          <w:sz w:val="18"/>
          <w:szCs w:val="18"/>
          <w:lang w:val="es-ES" w:eastAsia="es-ES"/>
        </w:rPr>
        <w:t xml:space="preserve"> lo estipulado en el literal b del presente </w:t>
      </w:r>
      <w:proofErr w:type="spellStart"/>
      <w:r w:rsidR="00302635" w:rsidRPr="00696B5E">
        <w:rPr>
          <w:rFonts w:ascii="Arial" w:eastAsia="Times New Roman" w:hAnsi="Arial" w:cs="Arial"/>
          <w:sz w:val="18"/>
          <w:szCs w:val="18"/>
          <w:lang w:val="es-ES" w:eastAsia="es-ES"/>
        </w:rPr>
        <w:t>sub</w:t>
      </w:r>
      <w:r w:rsidRPr="00696B5E">
        <w:rPr>
          <w:rFonts w:ascii="Arial" w:eastAsia="Times New Roman" w:hAnsi="Arial" w:cs="Arial"/>
          <w:sz w:val="18"/>
          <w:szCs w:val="18"/>
          <w:lang w:val="es-ES" w:eastAsia="es-ES"/>
        </w:rPr>
        <w:t>numeral</w:t>
      </w:r>
      <w:proofErr w:type="spellEnd"/>
      <w:r w:rsidRPr="00696B5E">
        <w:rPr>
          <w:rFonts w:ascii="Arial" w:eastAsia="Times New Roman" w:hAnsi="Arial" w:cs="Arial"/>
          <w:sz w:val="18"/>
          <w:szCs w:val="18"/>
          <w:lang w:val="es-ES" w:eastAsia="es-ES"/>
        </w:rPr>
        <w:t>.</w:t>
      </w:r>
    </w:p>
    <w:p w14:paraId="3F4D1DF2"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0C829A05" w14:textId="01D0FBF0"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Opciones.</w:t>
      </w:r>
    </w:p>
    <w:p w14:paraId="095B61C6"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11C2A600" w14:textId="1C7F1050" w:rsidR="00165646" w:rsidRPr="00696B5E" w:rsidRDefault="00165646" w:rsidP="00F83582">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El tratamiento de estas operaciones será descrito en la sección 2.7</w:t>
      </w:r>
      <w:r w:rsidR="00A754D7" w:rsidRPr="00696B5E">
        <w:rPr>
          <w:rFonts w:ascii="Arial" w:eastAsia="Times New Roman" w:hAnsi="Arial" w:cs="Arial"/>
          <w:sz w:val="18"/>
          <w:szCs w:val="18"/>
          <w:lang w:val="es-ES" w:eastAsia="es-ES"/>
        </w:rPr>
        <w:t xml:space="preserve"> del presente Anexo</w:t>
      </w:r>
      <w:r w:rsidRPr="00696B5E">
        <w:rPr>
          <w:rFonts w:ascii="Arial" w:eastAsia="Times New Roman" w:hAnsi="Arial" w:cs="Arial"/>
          <w:sz w:val="18"/>
          <w:szCs w:val="18"/>
          <w:lang w:val="es-ES" w:eastAsia="es-ES"/>
        </w:rPr>
        <w:t>.</w:t>
      </w:r>
    </w:p>
    <w:p w14:paraId="736702E6" w14:textId="6C2435F7" w:rsidR="00165646" w:rsidRPr="00696B5E" w:rsidRDefault="00F83582" w:rsidP="005D006A">
      <w:p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ab/>
      </w:r>
    </w:p>
    <w:p w14:paraId="51E71489" w14:textId="77777777" w:rsidR="00165646" w:rsidRPr="00696B5E" w:rsidRDefault="00165646" w:rsidP="00F83582">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Para valorar aquellas posiciones nocionales asimiladas a bonos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se deberán seguir las siguientes indicaciones:</w:t>
      </w:r>
    </w:p>
    <w:p w14:paraId="290BA3AA"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4E4D3AF1" w14:textId="77777777" w:rsidR="00361781" w:rsidRPr="00696B5E" w:rsidRDefault="00165646" w:rsidP="00F83582">
      <w:pPr>
        <w:pStyle w:val="Prrafodelista"/>
        <w:numPr>
          <w:ilvl w:val="0"/>
          <w:numId w:val="18"/>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Cuando la posición se encuentre en moneda legal, se deberá utilizar la curva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xml:space="preserve"> para títulos TES tasa fija en pesos suministrados por el proveedor de precios para valoración designado como oficial para el segmento correspondiente.  </w:t>
      </w:r>
    </w:p>
    <w:p w14:paraId="4FF94BEE" w14:textId="77777777" w:rsidR="00361781" w:rsidRPr="00696B5E" w:rsidRDefault="00165646" w:rsidP="00F83582">
      <w:pPr>
        <w:pStyle w:val="Prrafodelista"/>
        <w:numPr>
          <w:ilvl w:val="0"/>
          <w:numId w:val="18"/>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Cuando la posición se encuentre denominada en UVR se deberá utilizar la curva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xml:space="preserve"> para títulos TES en UVR suministrados por el proveedor de precios para valoración designado como oficial para el segmento correspondiente; y </w:t>
      </w:r>
    </w:p>
    <w:p w14:paraId="369D3260" w14:textId="7F39A6CD" w:rsidR="00165646" w:rsidRPr="00696B5E" w:rsidRDefault="00165646" w:rsidP="00F83582">
      <w:pPr>
        <w:pStyle w:val="Prrafodelista"/>
        <w:numPr>
          <w:ilvl w:val="0"/>
          <w:numId w:val="18"/>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el caso de posiciones denominadas en moneda extranjera, la tasa de descuento aplicable es la tasa “</w:t>
      </w:r>
      <w:r w:rsidRPr="00696B5E">
        <w:rPr>
          <w:rFonts w:ascii="Arial" w:eastAsia="Times New Roman" w:hAnsi="Arial" w:cs="Arial"/>
          <w:i/>
          <w:sz w:val="18"/>
          <w:szCs w:val="18"/>
          <w:lang w:val="es-ES" w:eastAsia="es-ES"/>
        </w:rPr>
        <w:t xml:space="preserve">London Interbank </w:t>
      </w:r>
      <w:proofErr w:type="spellStart"/>
      <w:r w:rsidRPr="00696B5E">
        <w:rPr>
          <w:rFonts w:ascii="Arial" w:eastAsia="Times New Roman" w:hAnsi="Arial" w:cs="Arial"/>
          <w:i/>
          <w:sz w:val="18"/>
          <w:szCs w:val="18"/>
          <w:lang w:val="es-ES" w:eastAsia="es-ES"/>
        </w:rPr>
        <w:t>Offer</w:t>
      </w:r>
      <w:proofErr w:type="spellEnd"/>
      <w:r w:rsidRPr="00696B5E">
        <w:rPr>
          <w:rFonts w:ascii="Arial" w:eastAsia="Times New Roman" w:hAnsi="Arial" w:cs="Arial"/>
          <w:i/>
          <w:sz w:val="18"/>
          <w:szCs w:val="18"/>
          <w:lang w:val="es-ES" w:eastAsia="es-ES"/>
        </w:rPr>
        <w:t xml:space="preserve"> </w:t>
      </w:r>
      <w:proofErr w:type="spellStart"/>
      <w:r w:rsidRPr="00696B5E">
        <w:rPr>
          <w:rFonts w:ascii="Arial" w:eastAsia="Times New Roman" w:hAnsi="Arial" w:cs="Arial"/>
          <w:i/>
          <w:sz w:val="18"/>
          <w:szCs w:val="18"/>
          <w:lang w:val="es-ES" w:eastAsia="es-ES"/>
        </w:rPr>
        <w:t>Rate</w:t>
      </w:r>
      <w:proofErr w:type="spellEnd"/>
      <w:r w:rsidRPr="00696B5E">
        <w:rPr>
          <w:rFonts w:ascii="Arial" w:eastAsia="Times New Roman" w:hAnsi="Arial" w:cs="Arial"/>
          <w:sz w:val="18"/>
          <w:szCs w:val="18"/>
          <w:lang w:val="es-ES" w:eastAsia="es-ES"/>
        </w:rPr>
        <w:t>” (LIBOR).</w:t>
      </w:r>
    </w:p>
    <w:p w14:paraId="47A26777"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3C680ADC" w14:textId="3D9C9907"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Notas estructuradas</w:t>
      </w:r>
      <w:r w:rsidR="00593020" w:rsidRPr="00696B5E">
        <w:rPr>
          <w:rFonts w:ascii="Arial" w:eastAsia="Times New Roman" w:hAnsi="Arial" w:cs="Arial"/>
          <w:sz w:val="18"/>
          <w:szCs w:val="18"/>
          <w:lang w:val="es-ES" w:eastAsia="es-ES"/>
        </w:rPr>
        <w:t>.</w:t>
      </w:r>
    </w:p>
    <w:p w14:paraId="7E757076"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7A685733" w14:textId="1E26EDA7" w:rsidR="00165646" w:rsidRPr="00696B5E" w:rsidRDefault="00165646" w:rsidP="0009046F">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El riesgo de mercado de las notas estructuradas que puedan descomponerse en instrumentos de renta fija o variabl</w:t>
      </w:r>
      <w:r w:rsidR="00361781" w:rsidRPr="00696B5E">
        <w:rPr>
          <w:rFonts w:ascii="Arial" w:eastAsia="Times New Roman" w:hAnsi="Arial" w:cs="Arial"/>
          <w:sz w:val="18"/>
          <w:szCs w:val="18"/>
          <w:lang w:val="es-ES" w:eastAsia="es-ES"/>
        </w:rPr>
        <w:t>e e instrumentos derivados debe</w:t>
      </w:r>
      <w:r w:rsidRPr="00696B5E">
        <w:rPr>
          <w:rFonts w:ascii="Arial" w:eastAsia="Times New Roman" w:hAnsi="Arial" w:cs="Arial"/>
          <w:sz w:val="18"/>
          <w:szCs w:val="18"/>
          <w:lang w:val="es-ES" w:eastAsia="es-ES"/>
        </w:rPr>
        <w:t xml:space="preserve"> calcularse para cada uno de sus componentes.</w:t>
      </w:r>
    </w:p>
    <w:p w14:paraId="0FE634F1"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7A95F54F" w14:textId="308D068D" w:rsidR="00165646" w:rsidRPr="00696B5E" w:rsidRDefault="00165646" w:rsidP="00065576">
      <w:pPr>
        <w:pBdr>
          <w:left w:val="single" w:sz="4" w:space="4" w:color="auto"/>
        </w:pBd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Cuando se trate de notas estructuradas que, de acuerdo con su valoración, puedan descomponerse, el riesgo de mercado deberá calcularse teniendo en cuenta:(i)  el módulo de tasa de interés, de acuerdo con las r</w:t>
      </w:r>
      <w:r w:rsidR="001B396F" w:rsidRPr="00696B5E">
        <w:rPr>
          <w:rFonts w:ascii="Arial" w:eastAsia="Times New Roman" w:hAnsi="Arial" w:cs="Arial"/>
          <w:sz w:val="18"/>
          <w:szCs w:val="18"/>
          <w:lang w:val="es-ES" w:eastAsia="es-ES"/>
        </w:rPr>
        <w:t xml:space="preserve">eglas contenidas en el </w:t>
      </w:r>
      <w:proofErr w:type="spellStart"/>
      <w:r w:rsidR="00B74126" w:rsidRPr="00696B5E">
        <w:rPr>
          <w:rFonts w:ascii="Arial" w:eastAsia="Times New Roman" w:hAnsi="Arial" w:cs="Arial"/>
          <w:sz w:val="18"/>
          <w:szCs w:val="18"/>
          <w:lang w:val="es-ES" w:eastAsia="es-ES"/>
        </w:rPr>
        <w:t>sub</w:t>
      </w:r>
      <w:r w:rsidR="001B396F" w:rsidRPr="00696B5E">
        <w:rPr>
          <w:rFonts w:ascii="Arial" w:eastAsia="Times New Roman" w:hAnsi="Arial" w:cs="Arial"/>
          <w:sz w:val="18"/>
          <w:szCs w:val="18"/>
          <w:lang w:val="es-ES" w:eastAsia="es-ES"/>
        </w:rPr>
        <w:t>numeral</w:t>
      </w:r>
      <w:proofErr w:type="spellEnd"/>
      <w:r w:rsidR="001B396F" w:rsidRPr="00696B5E">
        <w:rPr>
          <w:rFonts w:ascii="Arial" w:eastAsia="Times New Roman" w:hAnsi="Arial" w:cs="Arial"/>
          <w:sz w:val="18"/>
          <w:szCs w:val="18"/>
          <w:lang w:val="es-ES" w:eastAsia="es-ES"/>
        </w:rPr>
        <w:t xml:space="preserve"> 2</w:t>
      </w:r>
      <w:r w:rsidRPr="00696B5E">
        <w:rPr>
          <w:rFonts w:ascii="Arial" w:eastAsia="Times New Roman" w:hAnsi="Arial" w:cs="Arial"/>
          <w:sz w:val="18"/>
          <w:szCs w:val="18"/>
          <w:lang w:val="es-ES" w:eastAsia="es-ES"/>
        </w:rPr>
        <w:t>.2 de este anexo, cuando se trate de instrumentos de renta fija</w:t>
      </w:r>
      <w:r w:rsidR="00ED49F2" w:rsidRPr="00696B5E">
        <w:rPr>
          <w:rFonts w:ascii="Arial" w:eastAsia="Times New Roman" w:hAnsi="Arial" w:cs="Arial"/>
          <w:sz w:val="18"/>
          <w:szCs w:val="18"/>
          <w:lang w:val="es-ES" w:eastAsia="es-ES"/>
        </w:rPr>
        <w:t>;</w:t>
      </w:r>
      <w:r w:rsidRPr="00696B5E">
        <w:rPr>
          <w:rFonts w:ascii="Arial" w:eastAsia="Times New Roman" w:hAnsi="Arial" w:cs="Arial"/>
          <w:sz w:val="18"/>
          <w:szCs w:val="18"/>
          <w:lang w:val="es-ES" w:eastAsia="es-ES"/>
        </w:rPr>
        <w:t xml:space="preserve"> (</w:t>
      </w:r>
      <w:proofErr w:type="spellStart"/>
      <w:r w:rsidRPr="00696B5E">
        <w:rPr>
          <w:rFonts w:ascii="Arial" w:eastAsia="Times New Roman" w:hAnsi="Arial" w:cs="Arial"/>
          <w:sz w:val="18"/>
          <w:szCs w:val="18"/>
          <w:lang w:val="es-ES" w:eastAsia="es-ES"/>
        </w:rPr>
        <w:t>ii</w:t>
      </w:r>
      <w:proofErr w:type="spellEnd"/>
      <w:r w:rsidRPr="00696B5E">
        <w:rPr>
          <w:rFonts w:ascii="Arial" w:eastAsia="Times New Roman" w:hAnsi="Arial" w:cs="Arial"/>
          <w:sz w:val="18"/>
          <w:szCs w:val="18"/>
          <w:lang w:val="es-ES" w:eastAsia="es-ES"/>
        </w:rPr>
        <w:t xml:space="preserve">) el factor de riesgo de tasa de cambio, de acuerdo con las reglas contenidas en el </w:t>
      </w:r>
      <w:proofErr w:type="spellStart"/>
      <w:r w:rsidR="00880F93" w:rsidRPr="00696B5E">
        <w:rPr>
          <w:rFonts w:ascii="Arial" w:eastAsia="Times New Roman" w:hAnsi="Arial" w:cs="Arial"/>
          <w:sz w:val="18"/>
          <w:szCs w:val="18"/>
          <w:lang w:val="es-ES" w:eastAsia="es-ES"/>
        </w:rPr>
        <w:t>sub</w:t>
      </w:r>
      <w:r w:rsidRPr="00696B5E">
        <w:rPr>
          <w:rFonts w:ascii="Arial" w:eastAsia="Times New Roman" w:hAnsi="Arial" w:cs="Arial"/>
          <w:sz w:val="18"/>
          <w:szCs w:val="18"/>
          <w:lang w:val="es-ES" w:eastAsia="es-ES"/>
        </w:rPr>
        <w:t>numer</w:t>
      </w:r>
      <w:r w:rsidR="001B396F" w:rsidRPr="00696B5E">
        <w:rPr>
          <w:rFonts w:ascii="Arial" w:eastAsia="Times New Roman" w:hAnsi="Arial" w:cs="Arial"/>
          <w:sz w:val="18"/>
          <w:szCs w:val="18"/>
          <w:lang w:val="es-ES" w:eastAsia="es-ES"/>
        </w:rPr>
        <w:t>al</w:t>
      </w:r>
      <w:proofErr w:type="spellEnd"/>
      <w:r w:rsidR="001B396F" w:rsidRPr="00696B5E">
        <w:rPr>
          <w:rFonts w:ascii="Arial" w:eastAsia="Times New Roman" w:hAnsi="Arial" w:cs="Arial"/>
          <w:sz w:val="18"/>
          <w:szCs w:val="18"/>
          <w:lang w:val="es-ES" w:eastAsia="es-ES"/>
        </w:rPr>
        <w:t xml:space="preserve"> 2</w:t>
      </w:r>
      <w:r w:rsidRPr="00696B5E">
        <w:rPr>
          <w:rFonts w:ascii="Arial" w:eastAsia="Times New Roman" w:hAnsi="Arial" w:cs="Arial"/>
          <w:sz w:val="18"/>
          <w:szCs w:val="18"/>
          <w:lang w:val="es-ES" w:eastAsia="es-ES"/>
        </w:rPr>
        <w:t>.3 del presente anexo</w:t>
      </w:r>
      <w:r w:rsidR="00ED49F2" w:rsidRPr="00696B5E">
        <w:rPr>
          <w:rFonts w:ascii="Arial" w:eastAsia="Times New Roman" w:hAnsi="Arial" w:cs="Arial"/>
          <w:sz w:val="18"/>
          <w:szCs w:val="18"/>
          <w:lang w:val="es-ES" w:eastAsia="es-ES"/>
        </w:rPr>
        <w:t>;</w:t>
      </w:r>
      <w:r w:rsidRPr="00696B5E">
        <w:rPr>
          <w:rFonts w:ascii="Arial" w:eastAsia="Times New Roman" w:hAnsi="Arial" w:cs="Arial"/>
          <w:sz w:val="18"/>
          <w:szCs w:val="18"/>
          <w:lang w:val="es-ES" w:eastAsia="es-ES"/>
        </w:rPr>
        <w:t xml:space="preserve"> (</w:t>
      </w:r>
      <w:proofErr w:type="spellStart"/>
      <w:r w:rsidRPr="00696B5E">
        <w:rPr>
          <w:rFonts w:ascii="Arial" w:eastAsia="Times New Roman" w:hAnsi="Arial" w:cs="Arial"/>
          <w:sz w:val="18"/>
          <w:szCs w:val="18"/>
          <w:lang w:val="es-ES" w:eastAsia="es-ES"/>
        </w:rPr>
        <w:t>iii</w:t>
      </w:r>
      <w:proofErr w:type="spellEnd"/>
      <w:r w:rsidRPr="00696B5E">
        <w:rPr>
          <w:rFonts w:ascii="Arial" w:eastAsia="Times New Roman" w:hAnsi="Arial" w:cs="Arial"/>
          <w:sz w:val="18"/>
          <w:szCs w:val="18"/>
          <w:lang w:val="es-ES" w:eastAsia="es-ES"/>
        </w:rPr>
        <w:t>) el factor de riesgo de precio de acciones o índice accionario, de acuerdo con las r</w:t>
      </w:r>
      <w:r w:rsidR="001B396F" w:rsidRPr="00696B5E">
        <w:rPr>
          <w:rFonts w:ascii="Arial" w:eastAsia="Times New Roman" w:hAnsi="Arial" w:cs="Arial"/>
          <w:sz w:val="18"/>
          <w:szCs w:val="18"/>
          <w:lang w:val="es-ES" w:eastAsia="es-ES"/>
        </w:rPr>
        <w:t xml:space="preserve">eglas contenidas en el </w:t>
      </w:r>
      <w:proofErr w:type="spellStart"/>
      <w:r w:rsidR="004D6C7A" w:rsidRPr="00696B5E">
        <w:rPr>
          <w:rFonts w:ascii="Arial" w:eastAsia="Times New Roman" w:hAnsi="Arial" w:cs="Arial"/>
          <w:sz w:val="18"/>
          <w:szCs w:val="18"/>
          <w:lang w:val="es-ES" w:eastAsia="es-ES"/>
        </w:rPr>
        <w:t>sub</w:t>
      </w:r>
      <w:r w:rsidR="001B396F" w:rsidRPr="00696B5E">
        <w:rPr>
          <w:rFonts w:ascii="Arial" w:eastAsia="Times New Roman" w:hAnsi="Arial" w:cs="Arial"/>
          <w:sz w:val="18"/>
          <w:szCs w:val="18"/>
          <w:lang w:val="es-ES" w:eastAsia="es-ES"/>
        </w:rPr>
        <w:t>numeral</w:t>
      </w:r>
      <w:proofErr w:type="spellEnd"/>
      <w:r w:rsidR="001B396F" w:rsidRPr="00696B5E">
        <w:rPr>
          <w:rFonts w:ascii="Arial" w:eastAsia="Times New Roman" w:hAnsi="Arial" w:cs="Arial"/>
          <w:sz w:val="18"/>
          <w:szCs w:val="18"/>
          <w:lang w:val="es-ES" w:eastAsia="es-ES"/>
        </w:rPr>
        <w:t xml:space="preserve"> 2</w:t>
      </w:r>
      <w:r w:rsidRPr="00696B5E">
        <w:rPr>
          <w:rFonts w:ascii="Arial" w:eastAsia="Times New Roman" w:hAnsi="Arial" w:cs="Arial"/>
          <w:sz w:val="18"/>
          <w:szCs w:val="18"/>
          <w:lang w:val="es-ES" w:eastAsia="es-ES"/>
        </w:rPr>
        <w:t>.4 del presente anexo, para el caso de instrumentos de renta variable</w:t>
      </w:r>
      <w:r w:rsidR="00ED49F2" w:rsidRPr="00696B5E">
        <w:rPr>
          <w:rFonts w:ascii="Arial" w:eastAsia="Times New Roman" w:hAnsi="Arial" w:cs="Arial"/>
          <w:sz w:val="18"/>
          <w:szCs w:val="18"/>
          <w:lang w:val="es-ES" w:eastAsia="es-ES"/>
        </w:rPr>
        <w:t>; y (</w:t>
      </w:r>
      <w:proofErr w:type="spellStart"/>
      <w:r w:rsidR="00ED49F2" w:rsidRPr="00696B5E">
        <w:rPr>
          <w:rFonts w:ascii="Arial" w:eastAsia="Times New Roman" w:hAnsi="Arial" w:cs="Arial"/>
          <w:sz w:val="18"/>
          <w:szCs w:val="18"/>
          <w:lang w:val="es-ES" w:eastAsia="es-ES"/>
        </w:rPr>
        <w:t>iv</w:t>
      </w:r>
      <w:proofErr w:type="spellEnd"/>
      <w:r w:rsidR="00ED49F2" w:rsidRPr="00696B5E">
        <w:rPr>
          <w:rFonts w:ascii="Arial" w:eastAsia="Times New Roman" w:hAnsi="Arial" w:cs="Arial"/>
          <w:sz w:val="18"/>
          <w:szCs w:val="18"/>
          <w:lang w:val="es-ES" w:eastAsia="es-ES"/>
        </w:rPr>
        <w:t>) </w:t>
      </w:r>
      <w:r w:rsidR="00D0248F" w:rsidRPr="00696B5E">
        <w:rPr>
          <w:rFonts w:ascii="Arial" w:eastAsia="Times New Roman" w:hAnsi="Arial" w:cs="Arial"/>
          <w:sz w:val="18"/>
          <w:szCs w:val="18"/>
          <w:lang w:val="es-ES" w:eastAsia="es-ES"/>
        </w:rPr>
        <w:t xml:space="preserve">el factor de riesgo de operaciones de </w:t>
      </w:r>
      <w:r w:rsidR="00DA295A" w:rsidRPr="00CC79FE">
        <w:rPr>
          <w:rFonts w:ascii="Arial" w:eastAsia="Times New Roman" w:hAnsi="Arial" w:cs="Arial"/>
          <w:b/>
          <w:bCs/>
          <w:sz w:val="18"/>
          <w:szCs w:val="18"/>
          <w:lang w:val="es-ES" w:eastAsia="es-ES"/>
        </w:rPr>
        <w:t>derivados de crédito</w:t>
      </w:r>
      <w:r w:rsidR="00D0248F" w:rsidRPr="00696B5E">
        <w:rPr>
          <w:rFonts w:ascii="Arial" w:eastAsia="Times New Roman" w:hAnsi="Arial" w:cs="Arial"/>
          <w:sz w:val="18"/>
          <w:szCs w:val="18"/>
          <w:lang w:val="es-ES" w:eastAsia="es-ES"/>
        </w:rPr>
        <w:t xml:space="preserve">, de acuerdo con las reglas contenidas en el </w:t>
      </w:r>
      <w:proofErr w:type="spellStart"/>
      <w:r w:rsidR="004D6C7A" w:rsidRPr="00696B5E">
        <w:rPr>
          <w:rFonts w:ascii="Arial" w:eastAsia="Times New Roman" w:hAnsi="Arial" w:cs="Arial"/>
          <w:sz w:val="18"/>
          <w:szCs w:val="18"/>
          <w:lang w:val="es-ES" w:eastAsia="es-ES"/>
        </w:rPr>
        <w:t>sub</w:t>
      </w:r>
      <w:r w:rsidR="00D0248F" w:rsidRPr="00696B5E">
        <w:rPr>
          <w:rFonts w:ascii="Arial" w:eastAsia="Times New Roman" w:hAnsi="Arial" w:cs="Arial"/>
          <w:sz w:val="18"/>
          <w:szCs w:val="18"/>
          <w:lang w:val="es-ES" w:eastAsia="es-ES"/>
        </w:rPr>
        <w:t>numeral</w:t>
      </w:r>
      <w:proofErr w:type="spellEnd"/>
      <w:r w:rsidR="00D0248F" w:rsidRPr="00696B5E">
        <w:rPr>
          <w:rFonts w:ascii="Arial" w:eastAsia="Times New Roman" w:hAnsi="Arial" w:cs="Arial"/>
          <w:sz w:val="18"/>
          <w:szCs w:val="18"/>
          <w:lang w:val="es-ES" w:eastAsia="es-ES"/>
        </w:rPr>
        <w:t xml:space="preserve"> </w:t>
      </w:r>
      <w:r w:rsidR="00C64BCE" w:rsidRPr="00696B5E">
        <w:rPr>
          <w:rFonts w:ascii="Arial" w:eastAsia="Times New Roman" w:hAnsi="Arial" w:cs="Arial"/>
          <w:sz w:val="18"/>
          <w:szCs w:val="18"/>
          <w:lang w:val="es-ES" w:eastAsia="es-ES"/>
        </w:rPr>
        <w:t>2</w:t>
      </w:r>
      <w:r w:rsidR="00D0248F" w:rsidRPr="00696B5E">
        <w:rPr>
          <w:rFonts w:ascii="Arial" w:eastAsia="Times New Roman" w:hAnsi="Arial" w:cs="Arial"/>
          <w:sz w:val="18"/>
          <w:szCs w:val="18"/>
          <w:lang w:val="es-ES" w:eastAsia="es-ES"/>
        </w:rPr>
        <w:t>.9 del presente anexo.</w:t>
      </w:r>
    </w:p>
    <w:p w14:paraId="721E1873" w14:textId="77777777" w:rsidR="000D1247" w:rsidRPr="00696B5E" w:rsidRDefault="000D1247" w:rsidP="005D006A">
      <w:pPr>
        <w:spacing w:after="0" w:line="240" w:lineRule="auto"/>
        <w:ind w:left="284" w:hanging="284"/>
        <w:jc w:val="both"/>
        <w:rPr>
          <w:rFonts w:ascii="Arial" w:eastAsia="Times New Roman" w:hAnsi="Arial" w:cs="Arial"/>
          <w:sz w:val="18"/>
          <w:szCs w:val="18"/>
          <w:lang w:val="es-ES" w:eastAsia="es-ES"/>
        </w:rPr>
      </w:pPr>
    </w:p>
    <w:p w14:paraId="65F0DEF1" w14:textId="620B1847" w:rsidR="00165646" w:rsidRPr="00696B5E" w:rsidRDefault="00165646" w:rsidP="0009046F">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Cuando se trate de notas estructuradas que, de acuerdo con su valoración, no puedan descomponerse y se asemejen en su comportamiento y estructura a una opción, el riesgo de mercado deberá calcularse de acuerdo con las r</w:t>
      </w:r>
      <w:r w:rsidR="001B396F" w:rsidRPr="00696B5E">
        <w:rPr>
          <w:rFonts w:ascii="Arial" w:eastAsia="Times New Roman" w:hAnsi="Arial" w:cs="Arial"/>
          <w:sz w:val="18"/>
          <w:szCs w:val="18"/>
          <w:lang w:val="es-ES" w:eastAsia="es-ES"/>
        </w:rPr>
        <w:t xml:space="preserve">eglas contenidas en el </w:t>
      </w:r>
      <w:proofErr w:type="spellStart"/>
      <w:r w:rsidR="004D6C7A" w:rsidRPr="00696B5E">
        <w:rPr>
          <w:rFonts w:ascii="Arial" w:eastAsia="Times New Roman" w:hAnsi="Arial" w:cs="Arial"/>
          <w:sz w:val="18"/>
          <w:szCs w:val="18"/>
          <w:lang w:val="es-ES" w:eastAsia="es-ES"/>
        </w:rPr>
        <w:t>sub</w:t>
      </w:r>
      <w:r w:rsidR="001B396F" w:rsidRPr="00696B5E">
        <w:rPr>
          <w:rFonts w:ascii="Arial" w:eastAsia="Times New Roman" w:hAnsi="Arial" w:cs="Arial"/>
          <w:sz w:val="18"/>
          <w:szCs w:val="18"/>
          <w:lang w:val="es-ES" w:eastAsia="es-ES"/>
        </w:rPr>
        <w:t>numeral</w:t>
      </w:r>
      <w:proofErr w:type="spellEnd"/>
      <w:r w:rsidR="001B396F" w:rsidRPr="00696B5E">
        <w:rPr>
          <w:rFonts w:ascii="Arial" w:eastAsia="Times New Roman" w:hAnsi="Arial" w:cs="Arial"/>
          <w:sz w:val="18"/>
          <w:szCs w:val="18"/>
          <w:lang w:val="es-ES" w:eastAsia="es-ES"/>
        </w:rPr>
        <w:t xml:space="preserve"> 2</w:t>
      </w:r>
      <w:r w:rsidRPr="00696B5E">
        <w:rPr>
          <w:rFonts w:ascii="Arial" w:eastAsia="Times New Roman" w:hAnsi="Arial" w:cs="Arial"/>
          <w:sz w:val="18"/>
          <w:szCs w:val="18"/>
          <w:lang w:val="es-ES" w:eastAsia="es-ES"/>
        </w:rPr>
        <w:t>.7 del presente instructivo.</w:t>
      </w:r>
    </w:p>
    <w:p w14:paraId="2B0E2800" w14:textId="77777777" w:rsidR="00C6416A" w:rsidRPr="00696B5E" w:rsidRDefault="00C6416A" w:rsidP="005D006A">
      <w:pPr>
        <w:spacing w:after="0" w:line="240" w:lineRule="auto"/>
        <w:ind w:left="284" w:hanging="284"/>
        <w:jc w:val="both"/>
        <w:rPr>
          <w:rFonts w:ascii="Arial" w:eastAsia="Times New Roman" w:hAnsi="Arial" w:cs="Arial"/>
          <w:sz w:val="18"/>
          <w:szCs w:val="18"/>
          <w:lang w:val="es-ES" w:eastAsia="es-ES"/>
        </w:rPr>
      </w:pPr>
    </w:p>
    <w:p w14:paraId="473EE9F4" w14:textId="09220A80" w:rsidR="00C6416A" w:rsidRPr="00696B5E" w:rsidRDefault="00C6416A"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Inversiones clasificadas hasta el vencimiento entregadas como garantías</w:t>
      </w:r>
    </w:p>
    <w:p w14:paraId="314F5749" w14:textId="77777777" w:rsidR="00C6416A" w:rsidRPr="00696B5E" w:rsidRDefault="00C6416A" w:rsidP="005D006A">
      <w:pPr>
        <w:spacing w:after="0" w:line="240" w:lineRule="auto"/>
        <w:ind w:left="284" w:hanging="284"/>
        <w:jc w:val="both"/>
        <w:rPr>
          <w:rFonts w:ascii="Arial" w:eastAsia="Times New Roman" w:hAnsi="Arial" w:cs="Arial"/>
          <w:sz w:val="18"/>
          <w:szCs w:val="18"/>
          <w:lang w:val="es-ES" w:eastAsia="es-ES"/>
        </w:rPr>
      </w:pPr>
    </w:p>
    <w:p w14:paraId="0A50B7BA" w14:textId="76DD1753" w:rsidR="00B9645A" w:rsidRDefault="00C6416A" w:rsidP="00EF7E6D">
      <w:pPr>
        <w:spacing w:after="0" w:line="240" w:lineRule="auto"/>
        <w:ind w:left="284"/>
        <w:jc w:val="both"/>
        <w:rPr>
          <w:rFonts w:ascii="Arial" w:eastAsia="Times New Roman" w:hAnsi="Arial" w:cs="Arial"/>
          <w:sz w:val="18"/>
          <w:szCs w:val="18"/>
          <w:lang w:val="es-ES" w:eastAsia="es-ES"/>
        </w:rPr>
        <w:sectPr w:rsidR="00B9645A" w:rsidSect="005977A6">
          <w:headerReference w:type="even" r:id="rId11"/>
          <w:headerReference w:type="default" r:id="rId12"/>
          <w:footerReference w:type="even" r:id="rId13"/>
          <w:footerReference w:type="default" r:id="rId14"/>
          <w:headerReference w:type="first" r:id="rId15"/>
          <w:footerReference w:type="first" r:id="rId16"/>
          <w:pgSz w:w="12242" w:h="18722" w:code="14"/>
          <w:pgMar w:top="1418" w:right="1701" w:bottom="1418" w:left="1701" w:header="1134" w:footer="1134" w:gutter="0"/>
          <w:cols w:space="708"/>
          <w:docGrid w:linePitch="360"/>
        </w:sectPr>
      </w:pPr>
      <w:r w:rsidRPr="00696B5E">
        <w:rPr>
          <w:rFonts w:ascii="Arial" w:eastAsia="Times New Roman" w:hAnsi="Arial" w:cs="Arial"/>
          <w:sz w:val="18"/>
          <w:szCs w:val="18"/>
          <w:lang w:val="es-ES" w:eastAsia="es-ES"/>
        </w:rPr>
        <w:t>Las inversiones que sean entregadas como garantías en una cámara de riesgo central de contraparte con el fin de respaldar el cumplimiento de las operaciones aceptadas para su compensación y liquidación deberán ser tenidas en cuenta para el cálculo de la exposición al riesgo de tasa de interés, por su valor de mercado, independientemente de su clasificación contable</w:t>
      </w:r>
      <w:r w:rsidR="00B9645A">
        <w:rPr>
          <w:rFonts w:ascii="Arial" w:eastAsia="Times New Roman" w:hAnsi="Arial" w:cs="Arial"/>
          <w:sz w:val="18"/>
          <w:szCs w:val="18"/>
          <w:lang w:val="es-ES" w:eastAsia="es-ES"/>
        </w:rPr>
        <w:t>.</w:t>
      </w:r>
    </w:p>
    <w:p w14:paraId="1503B993" w14:textId="77777777" w:rsidR="00C6416A" w:rsidRPr="00696B5E" w:rsidRDefault="00C6416A" w:rsidP="00B9645A">
      <w:pPr>
        <w:spacing w:after="0" w:line="240" w:lineRule="auto"/>
        <w:jc w:val="both"/>
        <w:rPr>
          <w:rFonts w:ascii="Arial" w:eastAsia="Times New Roman" w:hAnsi="Arial" w:cs="Arial"/>
          <w:sz w:val="18"/>
          <w:szCs w:val="18"/>
          <w:lang w:val="es-ES" w:eastAsia="es-ES"/>
        </w:rPr>
      </w:pPr>
    </w:p>
    <w:p w14:paraId="14DD258A" w14:textId="5B36803C" w:rsidR="00A20357" w:rsidRPr="00696B5E" w:rsidRDefault="00C6416A" w:rsidP="00775A10">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Así mismo, en el evento en que estas inversiones estén expresadas en moneda diferente a moneda legal, deberán tenerse en cuenta adicionalmente en el cálculo de la exposición al riesgo de tasa de cambio.</w:t>
      </w:r>
    </w:p>
    <w:p w14:paraId="64A5BE82"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458A5DD7" w14:textId="634DAB3E" w:rsidR="00165646" w:rsidRPr="00696B5E" w:rsidRDefault="00165646" w:rsidP="00764C13">
      <w:pPr>
        <w:pStyle w:val="Prrafodelista"/>
        <w:numPr>
          <w:ilvl w:val="2"/>
          <w:numId w:val="32"/>
        </w:numPr>
        <w:spacing w:after="0" w:line="240" w:lineRule="auto"/>
        <w:jc w:val="both"/>
        <w:rPr>
          <w:rFonts w:ascii="Arial" w:eastAsia="Times New Roman" w:hAnsi="Arial" w:cs="Arial"/>
          <w:sz w:val="18"/>
          <w:szCs w:val="18"/>
          <w:lang w:val="es-ES" w:eastAsia="es-ES"/>
        </w:rPr>
      </w:pPr>
      <w:r w:rsidRPr="00696B5E">
        <w:rPr>
          <w:rFonts w:ascii="Arial" w:hAnsi="Arial" w:cs="Arial"/>
          <w:bCs/>
          <w:sz w:val="18"/>
          <w:szCs w:val="18"/>
        </w:rPr>
        <w:t>Operaciones de reporto o repo, operaciones simultáneas y operaciones de transferencia temporal de valores</w:t>
      </w:r>
    </w:p>
    <w:p w14:paraId="683EC80F"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007CD97B" w14:textId="77777777" w:rsidR="00B9645A" w:rsidRDefault="00165646" w:rsidP="000D1247">
      <w:pPr>
        <w:spacing w:after="0" w:line="240" w:lineRule="auto"/>
        <w:jc w:val="both"/>
        <w:rPr>
          <w:rFonts w:ascii="Arial" w:eastAsia="Times New Roman" w:hAnsi="Arial" w:cs="Arial"/>
          <w:sz w:val="18"/>
          <w:szCs w:val="18"/>
          <w:lang w:val="es-ES" w:eastAsia="es-ES"/>
        </w:rPr>
        <w:sectPr w:rsidR="00B9645A" w:rsidSect="005977A6">
          <w:headerReference w:type="default" r:id="rId17"/>
          <w:pgSz w:w="12242" w:h="18722" w:code="14"/>
          <w:pgMar w:top="1418" w:right="1701" w:bottom="1418" w:left="1701" w:header="1134" w:footer="1134" w:gutter="0"/>
          <w:cols w:space="708"/>
          <w:docGrid w:linePitch="360"/>
        </w:sectPr>
      </w:pPr>
      <w:r w:rsidRPr="00696B5E">
        <w:rPr>
          <w:rFonts w:ascii="Arial" w:eastAsia="Times New Roman" w:hAnsi="Arial" w:cs="Arial"/>
          <w:sz w:val="18"/>
          <w:szCs w:val="18"/>
          <w:lang w:val="es-ES" w:eastAsia="es-ES"/>
        </w:rPr>
        <w:t>Las operaciones a que hace referencia el presente numeral generan un intercambio de valores y de dinero entre las partes, con el compromiso de reversarlo al final de la operación.</w:t>
      </w:r>
    </w:p>
    <w:p w14:paraId="5DA3E315" w14:textId="379C412B" w:rsidR="000D1247" w:rsidRPr="002C7DF9" w:rsidRDefault="000D1247" w:rsidP="000D1247">
      <w:pPr>
        <w:spacing w:after="0" w:line="240" w:lineRule="auto"/>
        <w:jc w:val="both"/>
        <w:rPr>
          <w:rFonts w:ascii="Arial" w:eastAsia="Times New Roman" w:hAnsi="Arial" w:cs="Arial"/>
          <w:sz w:val="18"/>
          <w:szCs w:val="18"/>
          <w:lang w:val="es-ES" w:eastAsia="es-ES"/>
        </w:rPr>
      </w:pPr>
    </w:p>
    <w:p w14:paraId="59B39D0E" w14:textId="73C6086C" w:rsidR="00165646" w:rsidRPr="00696B5E" w:rsidRDefault="00065576" w:rsidP="004172FC">
      <w:pPr>
        <w:spacing w:after="0" w:line="240" w:lineRule="auto"/>
        <w:jc w:val="center"/>
        <w:rPr>
          <w:rFonts w:ascii="Arial" w:eastAsia="Times New Roman" w:hAnsi="Arial" w:cs="Arial"/>
          <w:b/>
          <w:bCs/>
          <w:sz w:val="18"/>
          <w:szCs w:val="18"/>
          <w:lang w:val="es-ES_tradnl" w:eastAsia="es-ES"/>
        </w:rPr>
      </w:pPr>
      <w:r>
        <w:rPr>
          <w:rFonts w:ascii="Arial" w:eastAsia="Times New Roman" w:hAnsi="Arial" w:cs="Arial"/>
          <w:b/>
          <w:bCs/>
          <w:noProof/>
          <w:sz w:val="18"/>
          <w:szCs w:val="18"/>
          <w:lang w:val="es-ES_tradnl" w:eastAsia="es-ES"/>
        </w:rPr>
        <mc:AlternateContent>
          <mc:Choice Requires="wps">
            <w:drawing>
              <wp:anchor distT="0" distB="0" distL="114300" distR="114300" simplePos="0" relativeHeight="251659264" behindDoc="0" locked="0" layoutInCell="1" allowOverlap="1" wp14:anchorId="0F3E19EA" wp14:editId="472782E2">
                <wp:simplePos x="0" y="0"/>
                <wp:positionH relativeFrom="column">
                  <wp:posOffset>-68458</wp:posOffset>
                </wp:positionH>
                <wp:positionV relativeFrom="paragraph">
                  <wp:posOffset>3682216</wp:posOffset>
                </wp:positionV>
                <wp:extent cx="0" cy="466928"/>
                <wp:effectExtent l="0" t="0" r="38100" b="9525"/>
                <wp:wrapNone/>
                <wp:docPr id="1" name="Conector recto 1"/>
                <wp:cNvGraphicFramePr/>
                <a:graphic xmlns:a="http://schemas.openxmlformats.org/drawingml/2006/main">
                  <a:graphicData uri="http://schemas.microsoft.com/office/word/2010/wordprocessingShape">
                    <wps:wsp>
                      <wps:cNvCnPr/>
                      <wps:spPr>
                        <a:xfrm flipV="1">
                          <a:off x="0" y="0"/>
                          <a:ext cx="0" cy="46692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4185DF" id="Conector recto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4pt,289.95pt" to="-5.4pt,3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" strokecolor="black [3213]" strokeweight=".5pt">
                <v:stroke joinstyle="miter"/>
              </v:line>
            </w:pict>
          </mc:Fallback>
        </mc:AlternateContent>
      </w:r>
      <w:r w:rsidR="00165646" w:rsidRPr="00696B5E">
        <w:rPr>
          <w:rFonts w:ascii="Arial" w:eastAsia="Times New Roman" w:hAnsi="Arial" w:cs="Arial"/>
          <w:b/>
          <w:bCs/>
          <w:sz w:val="18"/>
          <w:szCs w:val="18"/>
          <w:lang w:val="es-ES_tradnl" w:eastAsia="es-ES"/>
        </w:rPr>
        <w:t>Tabla 5</w:t>
      </w:r>
    </w:p>
    <w:tbl>
      <w:tblPr>
        <w:tblW w:w="748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81"/>
        <w:gridCol w:w="1767"/>
        <w:gridCol w:w="3534"/>
      </w:tblGrid>
      <w:tr w:rsidR="00165646" w:rsidRPr="00696B5E" w14:paraId="1CA5D1B5" w14:textId="77777777" w:rsidTr="00054AE4">
        <w:trPr>
          <w:trHeight w:val="255"/>
          <w:jc w:val="center"/>
        </w:trPr>
        <w:tc>
          <w:tcPr>
            <w:tcW w:w="2181" w:type="dxa"/>
            <w:shd w:val="clear" w:color="auto" w:fill="F2F2F2" w:themeFill="background1" w:themeFillShade="F2"/>
            <w:noWrap/>
            <w:vAlign w:val="bottom"/>
          </w:tcPr>
          <w:p w14:paraId="5A9D16D3" w14:textId="77777777" w:rsidR="00165646" w:rsidRPr="00696B5E" w:rsidRDefault="00165646" w:rsidP="004172FC">
            <w:pPr>
              <w:spacing w:after="0" w:line="240" w:lineRule="auto"/>
              <w:jc w:val="center"/>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Riesgo</w:t>
            </w:r>
          </w:p>
        </w:tc>
        <w:tc>
          <w:tcPr>
            <w:tcW w:w="5301" w:type="dxa"/>
            <w:gridSpan w:val="2"/>
            <w:shd w:val="clear" w:color="auto" w:fill="F2F2F2" w:themeFill="background1" w:themeFillShade="F2"/>
            <w:noWrap/>
            <w:vAlign w:val="bottom"/>
          </w:tcPr>
          <w:p w14:paraId="57817657" w14:textId="77777777" w:rsidR="00165646" w:rsidRPr="00696B5E" w:rsidRDefault="00165646" w:rsidP="004172FC">
            <w:pPr>
              <w:spacing w:after="0" w:line="240" w:lineRule="auto"/>
              <w:jc w:val="center"/>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Factor</w:t>
            </w:r>
          </w:p>
        </w:tc>
      </w:tr>
      <w:tr w:rsidR="00165646" w:rsidRPr="00696B5E" w14:paraId="6A12A9D7" w14:textId="77777777" w:rsidTr="009746EA">
        <w:trPr>
          <w:trHeight w:val="255"/>
          <w:jc w:val="center"/>
        </w:trPr>
        <w:tc>
          <w:tcPr>
            <w:tcW w:w="2181" w:type="dxa"/>
            <w:vMerge w:val="restart"/>
            <w:shd w:val="clear" w:color="auto" w:fill="auto"/>
            <w:vAlign w:val="center"/>
          </w:tcPr>
          <w:p w14:paraId="206AC806"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r w:rsidRPr="00696B5E">
              <w:rPr>
                <w:rFonts w:ascii="Arial" w:eastAsia="Times New Roman" w:hAnsi="Arial" w:cs="Arial"/>
                <w:bCs/>
                <w:sz w:val="18"/>
                <w:szCs w:val="18"/>
                <w:lang w:val="es-ES" w:eastAsia="es-ES"/>
              </w:rPr>
              <w:t>Tasa de Interés</w:t>
            </w:r>
          </w:p>
        </w:tc>
        <w:tc>
          <w:tcPr>
            <w:tcW w:w="1767" w:type="dxa"/>
            <w:vMerge w:val="restart"/>
            <w:shd w:val="clear" w:color="auto" w:fill="auto"/>
            <w:vAlign w:val="center"/>
          </w:tcPr>
          <w:p w14:paraId="3B885BA8"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Curva Cero Cupón Pesos</w:t>
            </w:r>
          </w:p>
        </w:tc>
        <w:tc>
          <w:tcPr>
            <w:tcW w:w="3534" w:type="dxa"/>
            <w:shd w:val="clear" w:color="auto" w:fill="auto"/>
            <w:noWrap/>
            <w:vAlign w:val="bottom"/>
          </w:tcPr>
          <w:p w14:paraId="79310ED3"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1. Componente Principal 1</w:t>
            </w:r>
          </w:p>
        </w:tc>
      </w:tr>
      <w:tr w:rsidR="00165646" w:rsidRPr="00696B5E" w14:paraId="02E26741" w14:textId="77777777" w:rsidTr="009746EA">
        <w:trPr>
          <w:trHeight w:val="255"/>
          <w:jc w:val="center"/>
        </w:trPr>
        <w:tc>
          <w:tcPr>
            <w:tcW w:w="2181" w:type="dxa"/>
            <w:vMerge/>
            <w:vAlign w:val="center"/>
          </w:tcPr>
          <w:p w14:paraId="690A7A3D"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52006DE5"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7584CE11"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2. Componente Principal 2</w:t>
            </w:r>
          </w:p>
        </w:tc>
      </w:tr>
      <w:tr w:rsidR="00165646" w:rsidRPr="00696B5E" w14:paraId="57A4CE2B" w14:textId="77777777" w:rsidTr="009746EA">
        <w:trPr>
          <w:trHeight w:val="255"/>
          <w:jc w:val="center"/>
        </w:trPr>
        <w:tc>
          <w:tcPr>
            <w:tcW w:w="2181" w:type="dxa"/>
            <w:vMerge/>
            <w:vAlign w:val="center"/>
          </w:tcPr>
          <w:p w14:paraId="429FCC81"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07754AEF"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39C863AE"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3. Componente Principal 3</w:t>
            </w:r>
          </w:p>
        </w:tc>
      </w:tr>
      <w:tr w:rsidR="00165646" w:rsidRPr="00696B5E" w14:paraId="365E1091" w14:textId="77777777" w:rsidTr="009746EA">
        <w:trPr>
          <w:trHeight w:val="255"/>
          <w:jc w:val="center"/>
        </w:trPr>
        <w:tc>
          <w:tcPr>
            <w:tcW w:w="2181" w:type="dxa"/>
            <w:vMerge/>
            <w:vAlign w:val="center"/>
          </w:tcPr>
          <w:p w14:paraId="68863E28"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restart"/>
            <w:shd w:val="clear" w:color="auto" w:fill="auto"/>
            <w:vAlign w:val="center"/>
          </w:tcPr>
          <w:p w14:paraId="010B6C03"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Curva Cero Cupón UVR</w:t>
            </w:r>
          </w:p>
        </w:tc>
        <w:tc>
          <w:tcPr>
            <w:tcW w:w="3534" w:type="dxa"/>
            <w:shd w:val="clear" w:color="auto" w:fill="auto"/>
            <w:noWrap/>
            <w:vAlign w:val="bottom"/>
          </w:tcPr>
          <w:p w14:paraId="2E3B5CA6"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4. Componente Principal 1</w:t>
            </w:r>
          </w:p>
        </w:tc>
      </w:tr>
      <w:tr w:rsidR="00165646" w:rsidRPr="00696B5E" w14:paraId="41D6EDD0" w14:textId="77777777" w:rsidTr="009746EA">
        <w:trPr>
          <w:trHeight w:val="255"/>
          <w:jc w:val="center"/>
        </w:trPr>
        <w:tc>
          <w:tcPr>
            <w:tcW w:w="2181" w:type="dxa"/>
            <w:vMerge/>
            <w:vAlign w:val="center"/>
          </w:tcPr>
          <w:p w14:paraId="51AE5BDC"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2906EC87"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09ACB636"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5. Componente Principal 2</w:t>
            </w:r>
          </w:p>
        </w:tc>
      </w:tr>
      <w:tr w:rsidR="00165646" w:rsidRPr="00696B5E" w14:paraId="69264389" w14:textId="77777777" w:rsidTr="009746EA">
        <w:trPr>
          <w:trHeight w:val="255"/>
          <w:jc w:val="center"/>
        </w:trPr>
        <w:tc>
          <w:tcPr>
            <w:tcW w:w="2181" w:type="dxa"/>
            <w:vMerge/>
            <w:vAlign w:val="center"/>
          </w:tcPr>
          <w:p w14:paraId="6D6E273E"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35E457D5"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140A45D9"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6. Componente Principal 3</w:t>
            </w:r>
          </w:p>
        </w:tc>
      </w:tr>
      <w:tr w:rsidR="00165646" w:rsidRPr="00696B5E" w14:paraId="1B1429C9" w14:textId="77777777" w:rsidTr="009746EA">
        <w:trPr>
          <w:trHeight w:val="255"/>
          <w:jc w:val="center"/>
        </w:trPr>
        <w:tc>
          <w:tcPr>
            <w:tcW w:w="2181" w:type="dxa"/>
            <w:vMerge/>
            <w:vAlign w:val="center"/>
          </w:tcPr>
          <w:p w14:paraId="7BF9D753"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restart"/>
            <w:shd w:val="clear" w:color="auto" w:fill="auto"/>
            <w:vAlign w:val="center"/>
          </w:tcPr>
          <w:p w14:paraId="3AC69552"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Curva </w:t>
            </w:r>
            <w:proofErr w:type="gramStart"/>
            <w:r w:rsidRPr="00696B5E">
              <w:rPr>
                <w:rFonts w:ascii="Arial" w:eastAsia="Times New Roman" w:hAnsi="Arial" w:cs="Arial"/>
                <w:sz w:val="18"/>
                <w:szCs w:val="18"/>
                <w:lang w:val="es-ES" w:eastAsia="es-ES"/>
              </w:rPr>
              <w:t>Cero cupón</w:t>
            </w:r>
            <w:proofErr w:type="gramEnd"/>
            <w:r w:rsidRPr="00696B5E">
              <w:rPr>
                <w:rFonts w:ascii="Arial" w:eastAsia="Times New Roman" w:hAnsi="Arial" w:cs="Arial"/>
                <w:sz w:val="18"/>
                <w:szCs w:val="18"/>
                <w:lang w:val="es-ES" w:eastAsia="es-ES"/>
              </w:rPr>
              <w:t xml:space="preserve"> Tesoros</w:t>
            </w:r>
          </w:p>
        </w:tc>
        <w:tc>
          <w:tcPr>
            <w:tcW w:w="3534" w:type="dxa"/>
            <w:shd w:val="clear" w:color="auto" w:fill="auto"/>
            <w:noWrap/>
            <w:vAlign w:val="bottom"/>
          </w:tcPr>
          <w:p w14:paraId="6F5B4287"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7. Componente Principal 1</w:t>
            </w:r>
          </w:p>
        </w:tc>
      </w:tr>
      <w:tr w:rsidR="00165646" w:rsidRPr="00696B5E" w14:paraId="1D1DC8D3" w14:textId="77777777" w:rsidTr="009746EA">
        <w:trPr>
          <w:trHeight w:val="255"/>
          <w:jc w:val="center"/>
        </w:trPr>
        <w:tc>
          <w:tcPr>
            <w:tcW w:w="2181" w:type="dxa"/>
            <w:vMerge/>
            <w:vAlign w:val="center"/>
          </w:tcPr>
          <w:p w14:paraId="6F93B77E"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10F354D0"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620962BD"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8. Componente Principal 2</w:t>
            </w:r>
          </w:p>
        </w:tc>
      </w:tr>
      <w:tr w:rsidR="00165646" w:rsidRPr="00696B5E" w14:paraId="3DFAF1A3" w14:textId="77777777" w:rsidTr="009746EA">
        <w:trPr>
          <w:trHeight w:val="255"/>
          <w:jc w:val="center"/>
        </w:trPr>
        <w:tc>
          <w:tcPr>
            <w:tcW w:w="2181" w:type="dxa"/>
            <w:vMerge/>
            <w:vAlign w:val="center"/>
          </w:tcPr>
          <w:p w14:paraId="1AAE0A2A"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21C8B9FD"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2C93D263"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9. Componente Principal 3</w:t>
            </w:r>
          </w:p>
        </w:tc>
      </w:tr>
      <w:tr w:rsidR="00165646" w:rsidRPr="00696B5E" w14:paraId="53006EA8" w14:textId="77777777" w:rsidTr="009746EA">
        <w:trPr>
          <w:trHeight w:val="255"/>
          <w:jc w:val="center"/>
        </w:trPr>
        <w:tc>
          <w:tcPr>
            <w:tcW w:w="2181" w:type="dxa"/>
            <w:vMerge/>
            <w:vAlign w:val="center"/>
          </w:tcPr>
          <w:p w14:paraId="5F14D39A"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restart"/>
            <w:shd w:val="clear" w:color="auto" w:fill="auto"/>
            <w:vAlign w:val="center"/>
          </w:tcPr>
          <w:p w14:paraId="3D06AF89"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DTF</w:t>
            </w:r>
          </w:p>
        </w:tc>
        <w:tc>
          <w:tcPr>
            <w:tcW w:w="3534" w:type="dxa"/>
            <w:shd w:val="clear" w:color="auto" w:fill="auto"/>
            <w:noWrap/>
            <w:vAlign w:val="bottom"/>
          </w:tcPr>
          <w:p w14:paraId="4488E686"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10. Corto Plazo</w:t>
            </w:r>
          </w:p>
        </w:tc>
      </w:tr>
      <w:tr w:rsidR="00165646" w:rsidRPr="00696B5E" w14:paraId="16B7D705" w14:textId="77777777" w:rsidTr="009746EA">
        <w:trPr>
          <w:trHeight w:val="255"/>
          <w:jc w:val="center"/>
        </w:trPr>
        <w:tc>
          <w:tcPr>
            <w:tcW w:w="2181" w:type="dxa"/>
            <w:vMerge/>
            <w:vAlign w:val="center"/>
          </w:tcPr>
          <w:p w14:paraId="52A203EA"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2C7CFC87"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51F09CAF"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11.Largo Plazo</w:t>
            </w:r>
          </w:p>
        </w:tc>
      </w:tr>
      <w:tr w:rsidR="00165646" w:rsidRPr="00696B5E" w14:paraId="2093788B" w14:textId="77777777" w:rsidTr="009746EA">
        <w:trPr>
          <w:trHeight w:val="255"/>
          <w:jc w:val="center"/>
        </w:trPr>
        <w:tc>
          <w:tcPr>
            <w:tcW w:w="2181" w:type="dxa"/>
            <w:vMerge/>
            <w:vAlign w:val="center"/>
          </w:tcPr>
          <w:p w14:paraId="25C08E72"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5301" w:type="dxa"/>
            <w:gridSpan w:val="2"/>
            <w:shd w:val="clear" w:color="auto" w:fill="auto"/>
            <w:noWrap/>
            <w:vAlign w:val="bottom"/>
          </w:tcPr>
          <w:p w14:paraId="672564A8"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12.  IPC</w:t>
            </w:r>
          </w:p>
        </w:tc>
      </w:tr>
      <w:tr w:rsidR="00165646" w:rsidRPr="00696B5E" w14:paraId="0BE54A41" w14:textId="77777777" w:rsidTr="009746EA">
        <w:trPr>
          <w:trHeight w:val="255"/>
          <w:jc w:val="center"/>
        </w:trPr>
        <w:tc>
          <w:tcPr>
            <w:tcW w:w="2181" w:type="dxa"/>
            <w:vMerge w:val="restart"/>
            <w:shd w:val="clear" w:color="auto" w:fill="auto"/>
            <w:vAlign w:val="center"/>
          </w:tcPr>
          <w:p w14:paraId="54843B78"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r w:rsidRPr="00696B5E">
              <w:rPr>
                <w:rFonts w:ascii="Arial" w:eastAsia="Times New Roman" w:hAnsi="Arial" w:cs="Arial"/>
                <w:bCs/>
                <w:sz w:val="18"/>
                <w:szCs w:val="18"/>
                <w:lang w:val="es-ES" w:eastAsia="es-ES"/>
              </w:rPr>
              <w:t>Tasa de Cambio</w:t>
            </w:r>
          </w:p>
        </w:tc>
        <w:tc>
          <w:tcPr>
            <w:tcW w:w="5301" w:type="dxa"/>
            <w:gridSpan w:val="2"/>
            <w:shd w:val="clear" w:color="auto" w:fill="auto"/>
            <w:noWrap/>
            <w:vAlign w:val="bottom"/>
          </w:tcPr>
          <w:p w14:paraId="6FEA55AA"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13. TRM</w:t>
            </w:r>
          </w:p>
        </w:tc>
      </w:tr>
      <w:tr w:rsidR="00165646" w:rsidRPr="00696B5E" w14:paraId="62005556" w14:textId="77777777" w:rsidTr="009746EA">
        <w:trPr>
          <w:trHeight w:val="255"/>
          <w:jc w:val="center"/>
        </w:trPr>
        <w:tc>
          <w:tcPr>
            <w:tcW w:w="2181" w:type="dxa"/>
            <w:vMerge/>
            <w:vAlign w:val="center"/>
          </w:tcPr>
          <w:p w14:paraId="765E5DE0"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5301" w:type="dxa"/>
            <w:gridSpan w:val="2"/>
            <w:shd w:val="clear" w:color="auto" w:fill="auto"/>
            <w:noWrap/>
            <w:vAlign w:val="bottom"/>
          </w:tcPr>
          <w:p w14:paraId="1D445868"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14.  </w:t>
            </w:r>
            <w:proofErr w:type="gramStart"/>
            <w:r w:rsidRPr="00696B5E">
              <w:rPr>
                <w:rFonts w:ascii="Arial" w:eastAsia="Times New Roman" w:hAnsi="Arial" w:cs="Arial"/>
                <w:sz w:val="18"/>
                <w:szCs w:val="18"/>
                <w:lang w:val="es-ES" w:eastAsia="es-ES"/>
              </w:rPr>
              <w:t>Euro</w:t>
            </w:r>
            <w:proofErr w:type="gramEnd"/>
            <w:r w:rsidRPr="00696B5E">
              <w:rPr>
                <w:rFonts w:ascii="Arial" w:eastAsia="Times New Roman" w:hAnsi="Arial" w:cs="Arial"/>
                <w:sz w:val="18"/>
                <w:szCs w:val="18"/>
                <w:lang w:val="es-ES" w:eastAsia="es-ES"/>
              </w:rPr>
              <w:t xml:space="preserve"> / Pesos</w:t>
            </w:r>
          </w:p>
        </w:tc>
      </w:tr>
      <w:tr w:rsidR="00165646" w:rsidRPr="00696B5E" w14:paraId="4874083B" w14:textId="77777777" w:rsidTr="009746EA">
        <w:trPr>
          <w:trHeight w:val="255"/>
          <w:jc w:val="center"/>
        </w:trPr>
        <w:tc>
          <w:tcPr>
            <w:tcW w:w="2181" w:type="dxa"/>
            <w:vMerge w:val="restart"/>
            <w:shd w:val="clear" w:color="auto" w:fill="auto"/>
            <w:vAlign w:val="center"/>
          </w:tcPr>
          <w:p w14:paraId="41D6AFFD" w14:textId="77777777" w:rsidR="00165646" w:rsidRPr="00696B5E" w:rsidRDefault="00165646" w:rsidP="00707FE1">
            <w:pPr>
              <w:spacing w:after="0" w:line="240" w:lineRule="auto"/>
              <w:jc w:val="both"/>
              <w:rPr>
                <w:rFonts w:ascii="Arial" w:eastAsia="Times New Roman" w:hAnsi="Arial" w:cs="Arial"/>
                <w:bCs/>
                <w:sz w:val="18"/>
                <w:szCs w:val="18"/>
                <w:lang w:val="es-ES" w:eastAsia="es-ES"/>
              </w:rPr>
            </w:pPr>
            <w:r w:rsidRPr="00696B5E">
              <w:rPr>
                <w:rFonts w:ascii="Arial" w:eastAsia="Times New Roman" w:hAnsi="Arial" w:cs="Arial"/>
                <w:bCs/>
                <w:sz w:val="18"/>
                <w:szCs w:val="18"/>
                <w:lang w:val="es-ES" w:eastAsia="es-ES"/>
              </w:rPr>
              <w:t>Precio de Acciones</w:t>
            </w:r>
          </w:p>
        </w:tc>
        <w:tc>
          <w:tcPr>
            <w:tcW w:w="5301" w:type="dxa"/>
            <w:gridSpan w:val="2"/>
            <w:shd w:val="clear" w:color="auto" w:fill="auto"/>
            <w:noWrap/>
            <w:vAlign w:val="bottom"/>
          </w:tcPr>
          <w:p w14:paraId="642A5E64" w14:textId="74259A79" w:rsidR="00165646" w:rsidRPr="00696B5E" w:rsidRDefault="001B396F"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15.  </w:t>
            </w:r>
            <w:r w:rsidR="0023284C" w:rsidRPr="00696B5E">
              <w:rPr>
                <w:rFonts w:ascii="Arial" w:eastAsia="Times New Roman" w:hAnsi="Arial" w:cs="Arial"/>
                <w:sz w:val="18"/>
                <w:szCs w:val="18"/>
                <w:lang w:val="es-ES" w:eastAsia="es-ES"/>
              </w:rPr>
              <w:t>Acciones Colombia</w:t>
            </w:r>
          </w:p>
        </w:tc>
      </w:tr>
      <w:tr w:rsidR="00165646" w:rsidRPr="00696B5E" w14:paraId="4BE23116" w14:textId="77777777" w:rsidTr="009746EA">
        <w:trPr>
          <w:trHeight w:val="255"/>
          <w:jc w:val="center"/>
        </w:trPr>
        <w:tc>
          <w:tcPr>
            <w:tcW w:w="2181" w:type="dxa"/>
            <w:vMerge/>
            <w:vAlign w:val="center"/>
          </w:tcPr>
          <w:p w14:paraId="266C9A79" w14:textId="77777777" w:rsidR="00165646" w:rsidRPr="00696B5E" w:rsidRDefault="00165646" w:rsidP="00707FE1">
            <w:pPr>
              <w:spacing w:after="0" w:line="240" w:lineRule="auto"/>
              <w:jc w:val="both"/>
              <w:rPr>
                <w:rFonts w:ascii="Arial" w:eastAsia="Times New Roman" w:hAnsi="Arial" w:cs="Arial"/>
                <w:bCs/>
                <w:sz w:val="18"/>
                <w:szCs w:val="18"/>
                <w:lang w:val="es-ES" w:eastAsia="es-ES"/>
              </w:rPr>
            </w:pPr>
          </w:p>
        </w:tc>
        <w:tc>
          <w:tcPr>
            <w:tcW w:w="5301" w:type="dxa"/>
            <w:gridSpan w:val="2"/>
            <w:shd w:val="clear" w:color="auto" w:fill="auto"/>
            <w:noWrap/>
            <w:vAlign w:val="bottom"/>
          </w:tcPr>
          <w:p w14:paraId="2F6EE209" w14:textId="61A4114F"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16.  </w:t>
            </w:r>
            <w:r w:rsidR="0023284C" w:rsidRPr="00696B5E">
              <w:rPr>
                <w:rFonts w:ascii="Arial" w:eastAsia="Times New Roman" w:hAnsi="Arial" w:cs="Arial"/>
                <w:sz w:val="18"/>
                <w:szCs w:val="18"/>
                <w:lang w:val="es-ES" w:eastAsia="es-ES"/>
              </w:rPr>
              <w:t>Acciones Global</w:t>
            </w:r>
          </w:p>
        </w:tc>
      </w:tr>
      <w:tr w:rsidR="00165646" w:rsidRPr="00696B5E" w14:paraId="2A6D7150" w14:textId="77777777" w:rsidTr="009746EA">
        <w:trPr>
          <w:trHeight w:val="915"/>
          <w:jc w:val="center"/>
        </w:trPr>
        <w:tc>
          <w:tcPr>
            <w:tcW w:w="2181" w:type="dxa"/>
            <w:shd w:val="clear" w:color="auto" w:fill="auto"/>
            <w:vAlign w:val="center"/>
          </w:tcPr>
          <w:p w14:paraId="3F81ED36" w14:textId="744F73DC" w:rsidR="00165646" w:rsidRPr="00696B5E" w:rsidRDefault="00165646" w:rsidP="00707FE1">
            <w:pPr>
              <w:spacing w:after="0" w:line="240" w:lineRule="auto"/>
              <w:jc w:val="both"/>
              <w:rPr>
                <w:rFonts w:ascii="Arial" w:eastAsia="Times New Roman" w:hAnsi="Arial" w:cs="Arial"/>
                <w:bCs/>
                <w:sz w:val="18"/>
                <w:szCs w:val="18"/>
                <w:lang w:val="es-ES" w:eastAsia="es-ES"/>
              </w:rPr>
            </w:pPr>
            <w:r w:rsidRPr="00696B5E">
              <w:rPr>
                <w:rFonts w:ascii="Arial" w:eastAsia="Times New Roman" w:hAnsi="Arial" w:cs="Arial"/>
                <w:bCs/>
                <w:sz w:val="18"/>
                <w:szCs w:val="18"/>
                <w:lang w:val="es-ES" w:eastAsia="es-ES"/>
              </w:rPr>
              <w:t xml:space="preserve">Participación en Fondos de </w:t>
            </w:r>
            <w:r w:rsidR="00C73C7B" w:rsidRPr="00696B5E">
              <w:rPr>
                <w:rFonts w:ascii="Arial" w:eastAsia="Times New Roman" w:hAnsi="Arial" w:cs="Arial"/>
                <w:bCs/>
                <w:sz w:val="18"/>
                <w:szCs w:val="18"/>
                <w:lang w:val="es-ES" w:eastAsia="es-ES"/>
              </w:rPr>
              <w:t>Inversión</w:t>
            </w:r>
            <w:r w:rsidRPr="00696B5E">
              <w:rPr>
                <w:rFonts w:ascii="Arial" w:eastAsia="Times New Roman" w:hAnsi="Arial" w:cs="Arial"/>
                <w:bCs/>
                <w:sz w:val="18"/>
                <w:szCs w:val="18"/>
                <w:lang w:val="es-ES" w:eastAsia="es-ES"/>
              </w:rPr>
              <w:t xml:space="preserve"> Colectiva</w:t>
            </w:r>
          </w:p>
        </w:tc>
        <w:tc>
          <w:tcPr>
            <w:tcW w:w="5301" w:type="dxa"/>
            <w:gridSpan w:val="2"/>
            <w:shd w:val="clear" w:color="auto" w:fill="auto"/>
            <w:vAlign w:val="center"/>
          </w:tcPr>
          <w:p w14:paraId="767610BF" w14:textId="556C0DC4"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17.   Fondos de </w:t>
            </w:r>
            <w:r w:rsidR="00C73C7B" w:rsidRPr="00696B5E">
              <w:rPr>
                <w:rFonts w:ascii="Arial" w:eastAsia="Times New Roman" w:hAnsi="Arial" w:cs="Arial"/>
                <w:sz w:val="18"/>
                <w:szCs w:val="18"/>
                <w:lang w:val="es-ES" w:eastAsia="es-ES"/>
              </w:rPr>
              <w:t>Inversión</w:t>
            </w:r>
            <w:r w:rsidRPr="00696B5E">
              <w:rPr>
                <w:rFonts w:ascii="Arial" w:eastAsia="Times New Roman" w:hAnsi="Arial" w:cs="Arial"/>
                <w:sz w:val="18"/>
                <w:szCs w:val="18"/>
                <w:lang w:val="es-ES" w:eastAsia="es-ES"/>
              </w:rPr>
              <w:t xml:space="preserve"> Colectiva</w:t>
            </w:r>
          </w:p>
        </w:tc>
      </w:tr>
      <w:tr w:rsidR="00AB461D" w:rsidRPr="00696B5E" w14:paraId="1A469049" w14:textId="77777777" w:rsidTr="009746EA">
        <w:trPr>
          <w:trHeight w:val="915"/>
          <w:jc w:val="center"/>
        </w:trPr>
        <w:tc>
          <w:tcPr>
            <w:tcW w:w="2181" w:type="dxa"/>
            <w:shd w:val="clear" w:color="auto" w:fill="auto"/>
            <w:vAlign w:val="center"/>
          </w:tcPr>
          <w:p w14:paraId="0EB35EFD" w14:textId="076242CA" w:rsidR="00AB461D" w:rsidRPr="00CC79FE" w:rsidRDefault="00DA295A" w:rsidP="00707FE1">
            <w:pPr>
              <w:spacing w:after="0" w:line="240" w:lineRule="auto"/>
              <w:jc w:val="both"/>
              <w:rPr>
                <w:rFonts w:ascii="Arial" w:eastAsia="Times New Roman" w:hAnsi="Arial" w:cs="Arial"/>
                <w:b/>
                <w:i/>
                <w:iCs/>
                <w:sz w:val="18"/>
                <w:szCs w:val="18"/>
                <w:lang w:val="es-ES" w:eastAsia="es-ES"/>
              </w:rPr>
            </w:pPr>
            <w:r w:rsidRPr="00CC79FE">
              <w:rPr>
                <w:rFonts w:ascii="Arial" w:eastAsia="Times New Roman" w:hAnsi="Arial" w:cs="Arial"/>
                <w:b/>
                <w:sz w:val="18"/>
                <w:szCs w:val="18"/>
                <w:lang w:val="es-ES" w:eastAsia="es-ES"/>
              </w:rPr>
              <w:t>Derivados de Crédito</w:t>
            </w:r>
          </w:p>
        </w:tc>
        <w:tc>
          <w:tcPr>
            <w:tcW w:w="5301" w:type="dxa"/>
            <w:gridSpan w:val="2"/>
            <w:shd w:val="clear" w:color="auto" w:fill="auto"/>
            <w:vAlign w:val="center"/>
          </w:tcPr>
          <w:p w14:paraId="124FCBB5" w14:textId="75FE009C" w:rsidR="00AB461D" w:rsidRPr="00696B5E" w:rsidRDefault="00AB461D"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18. </w:t>
            </w:r>
            <w:r w:rsidR="00DA295A" w:rsidRPr="00CC79FE">
              <w:rPr>
                <w:rFonts w:ascii="Arial" w:eastAsia="Times New Roman" w:hAnsi="Arial" w:cs="Arial"/>
                <w:b/>
                <w:bCs/>
                <w:sz w:val="18"/>
                <w:szCs w:val="18"/>
                <w:lang w:val="es-ES" w:eastAsia="es-ES"/>
              </w:rPr>
              <w:t>Derivados de Crédito</w:t>
            </w:r>
          </w:p>
        </w:tc>
      </w:tr>
    </w:tbl>
    <w:p w14:paraId="492470B2" w14:textId="68ABA92B" w:rsidR="001C1270" w:rsidRPr="00696B5E" w:rsidRDefault="001C1270" w:rsidP="00707FE1">
      <w:pPr>
        <w:spacing w:after="0" w:line="240" w:lineRule="auto"/>
        <w:jc w:val="both"/>
        <w:rPr>
          <w:rFonts w:ascii="Arial" w:eastAsia="Times New Roman" w:hAnsi="Arial" w:cs="Arial"/>
          <w:sz w:val="18"/>
          <w:szCs w:val="18"/>
          <w:lang w:val="es-ES_tradnl" w:eastAsia="es-ES"/>
        </w:rPr>
      </w:pPr>
    </w:p>
    <w:p w14:paraId="43A0E2B4" w14:textId="77777777" w:rsidR="00165646" w:rsidRPr="00696B5E" w:rsidRDefault="00165646" w:rsidP="00065576">
      <w:pPr>
        <w:spacing w:after="0" w:line="240" w:lineRule="auto"/>
        <w:jc w:val="both"/>
        <w:rPr>
          <w:rFonts w:ascii="Arial" w:eastAsia="Times New Roman" w:hAnsi="Arial" w:cs="Arial"/>
          <w:sz w:val="18"/>
          <w:szCs w:val="18"/>
          <w:lang w:val="es-ES_tradnl" w:eastAsia="es-ES"/>
        </w:rPr>
      </w:pPr>
      <w:r w:rsidRPr="001957CE">
        <w:rPr>
          <w:rFonts w:ascii="Arial" w:eastAsia="Times New Roman" w:hAnsi="Arial" w:cs="Arial"/>
          <w:sz w:val="18"/>
          <w:szCs w:val="18"/>
          <w:lang w:val="es-ES_tradnl" w:eastAsia="es-ES"/>
        </w:rPr>
        <w:t>* Los componentes principales 1, 2 y 3 describen los choques de tasa paralelo, de pendiente y convexidad respectivamente y se comportan</w:t>
      </w:r>
      <w:r w:rsidRPr="00696B5E">
        <w:rPr>
          <w:rFonts w:ascii="Arial" w:eastAsia="Times New Roman" w:hAnsi="Arial" w:cs="Arial"/>
          <w:sz w:val="18"/>
          <w:szCs w:val="18"/>
          <w:lang w:val="es-ES_tradnl" w:eastAsia="es-ES"/>
        </w:rPr>
        <w:t xml:space="preserve"> como factores de riesgo independientes.</w:t>
      </w:r>
    </w:p>
    <w:p w14:paraId="7F30C301" w14:textId="77777777" w:rsidR="006874FD" w:rsidRDefault="006874FD" w:rsidP="006874FD">
      <w:pPr>
        <w:pStyle w:val="Prrafodelista"/>
        <w:spacing w:after="0" w:line="240" w:lineRule="auto"/>
        <w:ind w:left="0"/>
        <w:jc w:val="both"/>
        <w:rPr>
          <w:rFonts w:ascii="Arial" w:eastAsia="Times New Roman" w:hAnsi="Arial" w:cs="Arial"/>
          <w:sz w:val="18"/>
          <w:szCs w:val="18"/>
          <w:lang w:val="es-MX" w:eastAsia="es-ES"/>
        </w:rPr>
      </w:pPr>
    </w:p>
    <w:p w14:paraId="2D9E72A3" w14:textId="30A7E488" w:rsidR="000D1247" w:rsidRPr="00696B5E" w:rsidRDefault="00165646" w:rsidP="006874FD">
      <w:pPr>
        <w:pStyle w:val="Prrafodelista"/>
        <w:numPr>
          <w:ilvl w:val="2"/>
          <w:numId w:val="35"/>
        </w:num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Suma aritmética de los </w:t>
      </w:r>
      <w:proofErr w:type="spellStart"/>
      <w:r w:rsidRPr="00696B5E">
        <w:rPr>
          <w:rFonts w:ascii="Arial" w:eastAsia="Times New Roman" w:hAnsi="Arial" w:cs="Arial"/>
          <w:sz w:val="18"/>
          <w:szCs w:val="18"/>
          <w:lang w:val="es-MX" w:eastAsia="es-ES"/>
        </w:rPr>
        <w:t>VeR</w:t>
      </w:r>
      <w:proofErr w:type="spellEnd"/>
      <w:r w:rsidRPr="00696B5E">
        <w:rPr>
          <w:rFonts w:ascii="Arial" w:eastAsia="Times New Roman" w:hAnsi="Arial" w:cs="Arial"/>
          <w:sz w:val="18"/>
          <w:szCs w:val="18"/>
          <w:lang w:val="es-MX" w:eastAsia="es-ES"/>
        </w:rPr>
        <w:t xml:space="preserve"> de cada factor de</w:t>
      </w:r>
      <w:r w:rsidR="001C1270" w:rsidRPr="00696B5E">
        <w:rPr>
          <w:rFonts w:ascii="Arial" w:eastAsia="Times New Roman" w:hAnsi="Arial" w:cs="Arial"/>
          <w:sz w:val="18"/>
          <w:szCs w:val="18"/>
          <w:lang w:val="es-MX" w:eastAsia="es-ES"/>
        </w:rPr>
        <w:t xml:space="preserve"> riesgo (suma de los Valores en </w:t>
      </w:r>
      <w:r w:rsidRPr="00696B5E">
        <w:rPr>
          <w:rFonts w:ascii="Arial" w:eastAsia="Times New Roman" w:hAnsi="Arial" w:cs="Arial"/>
          <w:sz w:val="18"/>
          <w:szCs w:val="18"/>
          <w:lang w:val="es-MX" w:eastAsia="es-ES"/>
        </w:rPr>
        <w:t>Riesgo de un mismo factor de riesgo).</w:t>
      </w:r>
    </w:p>
    <w:p w14:paraId="3DC34FDB" w14:textId="77777777" w:rsidR="000D1247" w:rsidRPr="00696B5E" w:rsidRDefault="000D1247" w:rsidP="000D1247">
      <w:pPr>
        <w:spacing w:after="0" w:line="240" w:lineRule="auto"/>
        <w:jc w:val="both"/>
        <w:rPr>
          <w:rFonts w:ascii="Arial" w:eastAsia="Times New Roman" w:hAnsi="Arial" w:cs="Arial"/>
          <w:sz w:val="18"/>
          <w:szCs w:val="18"/>
          <w:lang w:val="es-ES_tradnl" w:eastAsia="es-ES"/>
        </w:rPr>
      </w:pPr>
    </w:p>
    <w:p w14:paraId="62C9E056" w14:textId="437BB340" w:rsidR="000D1247" w:rsidRPr="00696B5E" w:rsidRDefault="00165646" w:rsidP="000014DE">
      <w:pPr>
        <w:pStyle w:val="Prrafodelista"/>
        <w:numPr>
          <w:ilvl w:val="0"/>
          <w:numId w:val="29"/>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Factores de riesgo con cálculo de exposición por banda de tiempo</w:t>
      </w:r>
    </w:p>
    <w:p w14:paraId="6505A3EF" w14:textId="77777777" w:rsidR="00165646" w:rsidRPr="00696B5E" w:rsidRDefault="00165646" w:rsidP="000014DE">
      <w:pPr>
        <w:spacing w:after="0" w:line="240" w:lineRule="auto"/>
        <w:ind w:left="284" w:hanging="284"/>
        <w:jc w:val="both"/>
        <w:rPr>
          <w:rFonts w:ascii="Arial" w:eastAsia="Times New Roman" w:hAnsi="Arial" w:cs="Arial"/>
          <w:sz w:val="18"/>
          <w:szCs w:val="18"/>
          <w:lang w:val="es-MX" w:eastAsia="es-ES"/>
        </w:rPr>
      </w:pPr>
    </w:p>
    <w:p w14:paraId="5B2C63A9" w14:textId="0EE32D5D" w:rsidR="00165646" w:rsidRPr="00696B5E" w:rsidRDefault="00165646" w:rsidP="000014DE">
      <w:pPr>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sz w:val="18"/>
          <w:szCs w:val="18"/>
          <w:lang w:val="es-ES_tradnl" w:eastAsia="es-ES"/>
        </w:rPr>
        <w:t xml:space="preserve">En el caso del riesgo de tasa de interés en moneda legal y extranjera </w:t>
      </w:r>
      <w:r w:rsidRPr="00696B5E">
        <w:rPr>
          <w:rFonts w:ascii="Arial" w:eastAsia="Times New Roman" w:hAnsi="Arial" w:cs="Arial"/>
          <w:sz w:val="18"/>
          <w:szCs w:val="18"/>
          <w:lang w:val="es-MX" w:eastAsia="es-ES"/>
        </w:rPr>
        <w:t>(</w:t>
      </w:r>
      <w:r w:rsidRPr="00696B5E">
        <w:rPr>
          <w:rFonts w:ascii="Arial" w:eastAsia="Times New Roman" w:hAnsi="Arial" w:cs="Arial"/>
          <w:i/>
          <w:sz w:val="18"/>
          <w:szCs w:val="18"/>
          <w:lang w:val="es-MX" w:eastAsia="es-ES"/>
        </w:rPr>
        <w:t>Componentes Principales de las Curvas Cero Cupón, pesos, UVR y tesoros</w:t>
      </w:r>
      <w:r w:rsidRPr="00696B5E">
        <w:rPr>
          <w:rFonts w:ascii="Arial" w:eastAsia="Times New Roman" w:hAnsi="Arial" w:cs="Arial"/>
          <w:sz w:val="18"/>
          <w:szCs w:val="18"/>
          <w:lang w:val="es-MX" w:eastAsia="es-ES"/>
        </w:rPr>
        <w:t>)</w:t>
      </w:r>
      <w:r w:rsidRPr="00696B5E">
        <w:rPr>
          <w:rFonts w:ascii="Arial" w:eastAsia="Times New Roman" w:hAnsi="Arial" w:cs="Arial"/>
          <w:sz w:val="18"/>
          <w:szCs w:val="18"/>
          <w:lang w:val="es-ES_tradnl" w:eastAsia="es-ES"/>
        </w:rPr>
        <w:t xml:space="preserve">, existe un </w:t>
      </w:r>
      <w:proofErr w:type="spellStart"/>
      <w:r w:rsidRPr="00696B5E">
        <w:rPr>
          <w:rFonts w:ascii="Arial" w:eastAsia="Times New Roman" w:hAnsi="Arial" w:cs="Arial"/>
          <w:sz w:val="18"/>
          <w:szCs w:val="18"/>
          <w:lang w:val="es-ES_tradnl" w:eastAsia="es-ES"/>
        </w:rPr>
        <w:t>VeR</w:t>
      </w:r>
      <w:proofErr w:type="spellEnd"/>
      <w:r w:rsidRPr="00696B5E">
        <w:rPr>
          <w:rFonts w:ascii="Arial" w:eastAsia="Times New Roman" w:hAnsi="Arial" w:cs="Arial"/>
          <w:sz w:val="18"/>
          <w:szCs w:val="18"/>
          <w:lang w:val="es-ES_tradnl" w:eastAsia="es-ES"/>
        </w:rPr>
        <w:t xml:space="preserve"> por banda de tiempo para cada uno de los factores de riesgo (en este caso se </w:t>
      </w:r>
      <w:r w:rsidR="00D11757" w:rsidRPr="00696B5E">
        <w:rPr>
          <w:rFonts w:ascii="Arial" w:eastAsia="Times New Roman" w:hAnsi="Arial" w:cs="Arial"/>
          <w:sz w:val="18"/>
          <w:szCs w:val="18"/>
          <w:lang w:val="es-ES_tradnl" w:eastAsia="es-ES"/>
        </w:rPr>
        <w:t>aplicará</w:t>
      </w:r>
      <w:r w:rsidRPr="00696B5E">
        <w:rPr>
          <w:rFonts w:ascii="Arial" w:eastAsia="Times New Roman" w:hAnsi="Arial" w:cs="Arial"/>
          <w:sz w:val="18"/>
          <w:szCs w:val="18"/>
          <w:lang w:val="es-ES_tradnl" w:eastAsia="es-ES"/>
        </w:rPr>
        <w:t xml:space="preserve"> solo para los factores 1 a 9 según la Tabla 5). Este valor en riesgo debe ser agregado aritméticamente de la siguiente forma</w:t>
      </w:r>
      <w:r w:rsidRPr="00696B5E">
        <w:rPr>
          <w:rFonts w:ascii="Arial" w:eastAsia="Times New Roman" w:hAnsi="Arial" w:cs="Arial"/>
          <w:sz w:val="18"/>
          <w:szCs w:val="18"/>
          <w:lang w:val="es-MX" w:eastAsia="es-ES"/>
        </w:rPr>
        <w:t>.</w:t>
      </w:r>
    </w:p>
    <w:p w14:paraId="14416B93" w14:textId="6B5878D0" w:rsidR="001C1270" w:rsidRPr="00696B5E" w:rsidRDefault="001C1270" w:rsidP="000014DE">
      <w:pPr>
        <w:spacing w:after="0" w:line="240" w:lineRule="auto"/>
        <w:ind w:left="284" w:hanging="284"/>
        <w:jc w:val="both"/>
        <w:rPr>
          <w:rFonts w:ascii="Arial" w:eastAsia="Times New Roman" w:hAnsi="Arial" w:cs="Arial"/>
          <w:sz w:val="18"/>
          <w:szCs w:val="18"/>
          <w:lang w:val="es-MX" w:eastAsia="es-ES"/>
        </w:rPr>
      </w:pPr>
    </w:p>
    <w:p w14:paraId="189A4916" w14:textId="77777777" w:rsidR="000D1247" w:rsidRPr="00696B5E" w:rsidRDefault="000D1247" w:rsidP="000014DE">
      <w:pPr>
        <w:spacing w:after="0" w:line="240" w:lineRule="auto"/>
        <w:ind w:left="284" w:hanging="284"/>
        <w:jc w:val="both"/>
        <w:rPr>
          <w:rFonts w:ascii="Arial" w:eastAsia="Times New Roman" w:hAnsi="Arial" w:cs="Arial"/>
          <w:sz w:val="18"/>
          <w:szCs w:val="18"/>
          <w:lang w:val="es-MX" w:eastAsia="es-ES"/>
        </w:rPr>
      </w:pPr>
    </w:p>
    <w:p w14:paraId="50F82D86" w14:textId="77777777" w:rsidR="00165646" w:rsidRPr="00696B5E" w:rsidRDefault="008B75A2" w:rsidP="000014DE">
      <w:pPr>
        <w:spacing w:after="0" w:line="240" w:lineRule="auto"/>
        <w:ind w:left="284" w:hanging="284"/>
        <w:jc w:val="center"/>
        <w:rPr>
          <w:rFonts w:ascii="Arial" w:eastAsia="Times New Roman" w:hAnsi="Arial" w:cs="Arial"/>
          <w:snapToGrid w:val="0"/>
          <w:sz w:val="18"/>
          <w:szCs w:val="18"/>
          <w:lang w:val="es-MX" w:eastAsia="es-ES"/>
        </w:rPr>
      </w:pPr>
      <w:r w:rsidRPr="00696B5E">
        <w:rPr>
          <w:rFonts w:ascii="Arial" w:eastAsia="Times New Roman" w:hAnsi="Arial" w:cs="Arial"/>
          <w:noProof/>
          <w:position w:val="-28"/>
          <w:sz w:val="18"/>
          <w:szCs w:val="18"/>
          <w:lang w:val="es-MX" w:eastAsia="es-ES"/>
        </w:rPr>
        <w:object w:dxaOrig="1620" w:dyaOrig="680" w14:anchorId="0F54E4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8pt;height:43.5pt;mso-width-percent:0;mso-height-percent:0;mso-width-percent:0;mso-height-percent:0" o:ole="">
            <v:imagedata r:id="rId18" o:title=""/>
          </v:shape>
          <o:OLEObject Type="Embed" ProgID="Equation.3" ShapeID="_x0000_i1025" DrawAspect="Content" ObjectID="_1734850781" r:id="rId19"/>
        </w:object>
      </w:r>
    </w:p>
    <w:p w14:paraId="01C7CAA3" w14:textId="77777777" w:rsidR="000D1247" w:rsidRPr="00696B5E" w:rsidRDefault="000D1247" w:rsidP="000014DE">
      <w:pPr>
        <w:spacing w:after="0" w:line="240" w:lineRule="auto"/>
        <w:ind w:left="284" w:hanging="284"/>
        <w:jc w:val="both"/>
        <w:rPr>
          <w:rFonts w:ascii="Arial" w:eastAsia="Times New Roman" w:hAnsi="Arial" w:cs="Arial"/>
          <w:sz w:val="18"/>
          <w:szCs w:val="18"/>
          <w:lang w:val="pt-BR" w:eastAsia="es-ES"/>
        </w:rPr>
      </w:pPr>
    </w:p>
    <w:p w14:paraId="177D454E" w14:textId="77777777" w:rsidR="000D1247" w:rsidRPr="00696B5E" w:rsidRDefault="000D1247" w:rsidP="000014DE">
      <w:pPr>
        <w:spacing w:after="0" w:line="240" w:lineRule="auto"/>
        <w:ind w:left="284" w:hanging="284"/>
        <w:jc w:val="both"/>
        <w:rPr>
          <w:rFonts w:ascii="Arial" w:eastAsia="Times New Roman" w:hAnsi="Arial" w:cs="Arial"/>
          <w:sz w:val="18"/>
          <w:szCs w:val="18"/>
          <w:lang w:val="pt-BR" w:eastAsia="es-ES"/>
        </w:rPr>
      </w:pPr>
    </w:p>
    <w:p w14:paraId="5BF7536E" w14:textId="77777777" w:rsidR="00165646" w:rsidRPr="00696B5E" w:rsidRDefault="00165646" w:rsidP="000014DE">
      <w:pPr>
        <w:spacing w:after="0" w:line="240" w:lineRule="auto"/>
        <w:ind w:left="284"/>
        <w:jc w:val="both"/>
        <w:rPr>
          <w:rFonts w:ascii="Arial" w:eastAsia="Times New Roman" w:hAnsi="Arial" w:cs="Arial"/>
          <w:sz w:val="18"/>
          <w:szCs w:val="18"/>
          <w:lang w:val="pt-BR" w:eastAsia="es-ES"/>
        </w:rPr>
      </w:pPr>
      <w:r w:rsidRPr="00696B5E">
        <w:rPr>
          <w:rFonts w:ascii="Arial" w:eastAsia="Times New Roman" w:hAnsi="Arial" w:cs="Arial"/>
          <w:sz w:val="18"/>
          <w:szCs w:val="18"/>
          <w:lang w:val="pt-BR" w:eastAsia="es-ES"/>
        </w:rPr>
        <w:t>Donde:</w:t>
      </w:r>
    </w:p>
    <w:p w14:paraId="3A48966D" w14:textId="77777777" w:rsidR="00165646" w:rsidRPr="00696B5E" w:rsidRDefault="00165646" w:rsidP="000014DE">
      <w:pPr>
        <w:spacing w:after="0" w:line="240" w:lineRule="auto"/>
        <w:ind w:left="284"/>
        <w:jc w:val="both"/>
        <w:rPr>
          <w:rFonts w:ascii="Arial" w:eastAsia="Times New Roman" w:hAnsi="Arial" w:cs="Arial"/>
          <w:sz w:val="18"/>
          <w:szCs w:val="18"/>
          <w:lang w:val="pt-BR" w:eastAsia="es-ES"/>
        </w:rPr>
      </w:pPr>
      <w:r w:rsidRPr="00696B5E">
        <w:rPr>
          <w:rFonts w:ascii="Arial" w:eastAsia="Times New Roman" w:hAnsi="Arial" w:cs="Arial"/>
          <w:sz w:val="18"/>
          <w:szCs w:val="18"/>
          <w:lang w:val="pt-BR" w:eastAsia="es-ES"/>
        </w:rPr>
        <w:t>n:</w:t>
      </w:r>
      <w:r w:rsidRPr="00696B5E">
        <w:rPr>
          <w:rFonts w:ascii="Arial" w:eastAsia="Times New Roman" w:hAnsi="Arial" w:cs="Arial"/>
          <w:sz w:val="18"/>
          <w:szCs w:val="18"/>
          <w:lang w:val="pt-BR" w:eastAsia="es-ES"/>
        </w:rPr>
        <w:tab/>
        <w:t xml:space="preserve">Factor de </w:t>
      </w:r>
      <w:proofErr w:type="spellStart"/>
      <w:r w:rsidRPr="00696B5E">
        <w:rPr>
          <w:rFonts w:ascii="Arial" w:eastAsia="Times New Roman" w:hAnsi="Arial" w:cs="Arial"/>
          <w:sz w:val="18"/>
          <w:szCs w:val="18"/>
          <w:lang w:val="pt-BR" w:eastAsia="es-ES"/>
        </w:rPr>
        <w:t>riesgo</w:t>
      </w:r>
      <w:proofErr w:type="spellEnd"/>
      <w:r w:rsidRPr="00696B5E">
        <w:rPr>
          <w:rFonts w:ascii="Arial" w:eastAsia="Times New Roman" w:hAnsi="Arial" w:cs="Arial"/>
          <w:sz w:val="18"/>
          <w:szCs w:val="18"/>
          <w:lang w:val="pt-BR" w:eastAsia="es-ES"/>
        </w:rPr>
        <w:t xml:space="preserve"> n, n = 1</w:t>
      </w:r>
      <w:proofErr w:type="gramStart"/>
      <w:r w:rsidRPr="00696B5E">
        <w:rPr>
          <w:rFonts w:ascii="Arial" w:eastAsia="Times New Roman" w:hAnsi="Arial" w:cs="Arial"/>
          <w:sz w:val="18"/>
          <w:szCs w:val="18"/>
          <w:lang w:val="pt-BR" w:eastAsia="es-ES"/>
        </w:rPr>
        <w:t>…..</w:t>
      </w:r>
      <w:proofErr w:type="gramEnd"/>
      <w:r w:rsidRPr="00696B5E">
        <w:rPr>
          <w:rFonts w:ascii="Arial" w:eastAsia="Times New Roman" w:hAnsi="Arial" w:cs="Arial"/>
          <w:sz w:val="18"/>
          <w:szCs w:val="18"/>
          <w:lang w:val="pt-BR" w:eastAsia="es-ES"/>
        </w:rPr>
        <w:t>9.</w:t>
      </w:r>
    </w:p>
    <w:p w14:paraId="0DBFA9EB" w14:textId="2BB0675F" w:rsidR="00165646" w:rsidRPr="00696B5E" w:rsidRDefault="00165646" w:rsidP="000014DE">
      <w:pPr>
        <w:spacing w:after="0" w:line="240" w:lineRule="auto"/>
        <w:ind w:left="284"/>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i:</w:t>
      </w:r>
      <w:r w:rsidRPr="00696B5E">
        <w:rPr>
          <w:rFonts w:ascii="Arial" w:eastAsia="Times New Roman" w:hAnsi="Arial" w:cs="Arial"/>
          <w:sz w:val="18"/>
          <w:szCs w:val="18"/>
          <w:lang w:val="es-ES_tradnl" w:eastAsia="es-ES"/>
        </w:rPr>
        <w:tab/>
        <w:t>Banda de tiempo para cálculo de exposición al riesgo de mercado para tasa de interés</w:t>
      </w:r>
      <w:r w:rsidR="00B217AC" w:rsidRPr="00696B5E">
        <w:rPr>
          <w:rFonts w:ascii="Arial" w:eastAsia="Times New Roman" w:hAnsi="Arial" w:cs="Arial"/>
          <w:sz w:val="18"/>
          <w:szCs w:val="18"/>
          <w:lang w:val="es-ES_tradnl" w:eastAsia="es-ES"/>
        </w:rPr>
        <w:t xml:space="preserve"> </w:t>
      </w:r>
      <w:r w:rsidR="008B75A2" w:rsidRPr="00696B5E">
        <w:rPr>
          <w:rFonts w:ascii="Arial" w:eastAsia="Times New Roman" w:hAnsi="Arial" w:cs="Arial"/>
          <w:noProof/>
          <w:position w:val="-12"/>
          <w:sz w:val="18"/>
          <w:szCs w:val="18"/>
          <w:lang w:val="es-ES_tradnl" w:eastAsia="es-ES"/>
        </w:rPr>
        <w:object w:dxaOrig="560" w:dyaOrig="380" w14:anchorId="46BD27A1">
          <v:shape id="_x0000_i1026" type="#_x0000_t75" alt="" style="width:28.5pt;height:21.75pt;mso-width-percent:0;mso-height-percent:0;mso-width-percent:0;mso-height-percent:0" o:ole="" fillcolor="window">
            <v:imagedata r:id="rId20" o:title=""/>
          </v:shape>
          <o:OLEObject Type="Embed" ProgID="Equation.3" ShapeID="_x0000_i1026" DrawAspect="Content" ObjectID="_1734850782" r:id="rId21"/>
        </w:object>
      </w:r>
      <w:r w:rsidRPr="00696B5E">
        <w:rPr>
          <w:rFonts w:ascii="Arial" w:eastAsia="Times New Roman" w:hAnsi="Arial" w:cs="Arial"/>
          <w:sz w:val="18"/>
          <w:szCs w:val="18"/>
          <w:lang w:val="es-ES_tradnl" w:eastAsia="es-ES"/>
        </w:rPr>
        <w:t>:</w:t>
      </w:r>
      <w:r w:rsidRPr="00696B5E">
        <w:rPr>
          <w:rFonts w:ascii="Arial" w:eastAsia="Times New Roman" w:hAnsi="Arial" w:cs="Arial"/>
          <w:sz w:val="18"/>
          <w:szCs w:val="18"/>
          <w:lang w:val="es-ES_tradnl" w:eastAsia="es-ES"/>
        </w:rPr>
        <w:tab/>
        <w:t>Valor en Riesgo de la banda de tiempo i para el factor de riesgo n.</w:t>
      </w:r>
    </w:p>
    <w:p w14:paraId="0CE65971" w14:textId="77777777" w:rsidR="00165646" w:rsidRPr="00696B5E" w:rsidRDefault="008B75A2" w:rsidP="000014DE">
      <w:pPr>
        <w:spacing w:after="0" w:line="240" w:lineRule="auto"/>
        <w:ind w:left="284"/>
        <w:jc w:val="both"/>
        <w:rPr>
          <w:rFonts w:ascii="Arial" w:eastAsia="Times New Roman" w:hAnsi="Arial" w:cs="Arial"/>
          <w:sz w:val="18"/>
          <w:szCs w:val="18"/>
          <w:lang w:val="es-ES_tradnl" w:eastAsia="es-ES"/>
        </w:rPr>
      </w:pPr>
      <w:r w:rsidRPr="00696B5E">
        <w:rPr>
          <w:rFonts w:ascii="Arial" w:eastAsia="Times New Roman" w:hAnsi="Arial" w:cs="Arial"/>
          <w:noProof/>
          <w:position w:val="-12"/>
          <w:sz w:val="18"/>
          <w:szCs w:val="18"/>
          <w:lang w:val="es-ES_tradnl" w:eastAsia="es-ES"/>
        </w:rPr>
        <w:object w:dxaOrig="540" w:dyaOrig="380" w14:anchorId="61A616B7">
          <v:shape id="_x0000_i1027" type="#_x0000_t75" alt="" style="width:28.5pt;height:21.75pt;mso-width-percent:0;mso-height-percent:0;mso-width-percent:0;mso-height-percent:0" o:ole="" fillcolor="window">
            <v:imagedata r:id="rId22" o:title=""/>
          </v:shape>
          <o:OLEObject Type="Embed" ProgID="Equation.3" ShapeID="_x0000_i1027" DrawAspect="Content" ObjectID="_1734850783" r:id="rId23"/>
        </w:object>
      </w:r>
      <w:r w:rsidR="00165646" w:rsidRPr="00696B5E">
        <w:rPr>
          <w:rFonts w:ascii="Arial" w:eastAsia="Times New Roman" w:hAnsi="Arial" w:cs="Arial"/>
          <w:sz w:val="18"/>
          <w:szCs w:val="18"/>
          <w:lang w:val="es-ES_tradnl" w:eastAsia="es-ES"/>
        </w:rPr>
        <w:t>:</w:t>
      </w:r>
      <w:r w:rsidR="00165646" w:rsidRPr="00696B5E">
        <w:rPr>
          <w:rFonts w:ascii="Arial" w:eastAsia="Times New Roman" w:hAnsi="Arial" w:cs="Arial"/>
          <w:sz w:val="18"/>
          <w:szCs w:val="18"/>
          <w:lang w:val="es-ES_tradnl" w:eastAsia="es-ES"/>
        </w:rPr>
        <w:tab/>
        <w:t>Valor en riesgo total del factor de riesgo n.</w:t>
      </w:r>
    </w:p>
    <w:p w14:paraId="7C01F8F2" w14:textId="77777777" w:rsidR="00165646" w:rsidRPr="00696B5E" w:rsidRDefault="00165646" w:rsidP="000014DE">
      <w:pPr>
        <w:spacing w:after="0" w:line="240" w:lineRule="auto"/>
        <w:ind w:left="284" w:hanging="284"/>
        <w:jc w:val="both"/>
        <w:rPr>
          <w:rFonts w:ascii="Arial" w:eastAsia="Times New Roman" w:hAnsi="Arial" w:cs="Arial"/>
          <w:sz w:val="18"/>
          <w:szCs w:val="18"/>
          <w:lang w:val="es-ES_tradnl" w:eastAsia="es-ES"/>
        </w:rPr>
      </w:pPr>
    </w:p>
    <w:p w14:paraId="72B86541" w14:textId="01726ECF" w:rsidR="00165646" w:rsidRPr="00696B5E" w:rsidRDefault="00165646" w:rsidP="000014DE">
      <w:pPr>
        <w:pStyle w:val="Prrafodelista"/>
        <w:numPr>
          <w:ilvl w:val="0"/>
          <w:numId w:val="29"/>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Factores de riesgo con cálculo de exposición total (sin bandas de tiempo)</w:t>
      </w:r>
    </w:p>
    <w:p w14:paraId="27116CDF" w14:textId="77777777" w:rsidR="00165646" w:rsidRPr="00696B5E" w:rsidRDefault="00165646" w:rsidP="000014DE">
      <w:pPr>
        <w:spacing w:after="0" w:line="240" w:lineRule="auto"/>
        <w:ind w:left="284" w:hanging="284"/>
        <w:jc w:val="both"/>
        <w:rPr>
          <w:rFonts w:ascii="Arial" w:eastAsia="Times New Roman" w:hAnsi="Arial" w:cs="Arial"/>
          <w:sz w:val="18"/>
          <w:szCs w:val="18"/>
          <w:lang w:val="es-MX" w:eastAsia="es-ES"/>
        </w:rPr>
      </w:pPr>
    </w:p>
    <w:p w14:paraId="33268AF7" w14:textId="68ADECC3" w:rsidR="00082EB2" w:rsidRDefault="00165646" w:rsidP="000014DE">
      <w:pPr>
        <w:spacing w:after="0" w:line="240" w:lineRule="auto"/>
        <w:ind w:left="284"/>
        <w:jc w:val="both"/>
        <w:rPr>
          <w:rFonts w:ascii="Arial" w:eastAsia="Times New Roman" w:hAnsi="Arial" w:cs="Arial"/>
          <w:bCs/>
          <w:sz w:val="18"/>
          <w:szCs w:val="18"/>
          <w:lang w:val="es-MX" w:eastAsia="es-ES"/>
        </w:rPr>
        <w:sectPr w:rsidR="00082EB2" w:rsidSect="005977A6">
          <w:headerReference w:type="default" r:id="rId24"/>
          <w:pgSz w:w="12242" w:h="18722" w:code="14"/>
          <w:pgMar w:top="1418" w:right="1701" w:bottom="1418" w:left="1701" w:header="1134" w:footer="1134" w:gutter="0"/>
          <w:cols w:space="708"/>
          <w:docGrid w:linePitch="360"/>
        </w:sectPr>
      </w:pPr>
      <w:r w:rsidRPr="00696B5E">
        <w:rPr>
          <w:rFonts w:ascii="Arial" w:eastAsia="Times New Roman" w:hAnsi="Arial" w:cs="Arial"/>
          <w:bCs/>
          <w:sz w:val="18"/>
          <w:szCs w:val="18"/>
          <w:lang w:val="es-MX" w:eastAsia="es-ES"/>
        </w:rPr>
        <w:t>En el caso de los factores de riesgo 10 a 1</w:t>
      </w:r>
      <w:r w:rsidR="00733A41" w:rsidRPr="00696B5E">
        <w:rPr>
          <w:rFonts w:ascii="Arial" w:eastAsia="Times New Roman" w:hAnsi="Arial" w:cs="Arial"/>
          <w:bCs/>
          <w:sz w:val="18"/>
          <w:szCs w:val="18"/>
          <w:lang w:val="es-MX" w:eastAsia="es-ES"/>
        </w:rPr>
        <w:t>8</w:t>
      </w:r>
      <w:r w:rsidRPr="00696B5E">
        <w:rPr>
          <w:rFonts w:ascii="Arial" w:eastAsia="Times New Roman" w:hAnsi="Arial" w:cs="Arial"/>
          <w:bCs/>
          <w:sz w:val="18"/>
          <w:szCs w:val="18"/>
          <w:lang w:val="es-MX" w:eastAsia="es-ES"/>
        </w:rPr>
        <w:t xml:space="preserve">, listados en la Tabla 5, no se hace necesaria una agregación aritmética de la exposición dado que estos no utilizan bandas de tiempo para el cálculo de la exposición. En este caso se tomará el valor de la exposición total calculada, según lo descrito en el presente instructivo. </w:t>
      </w:r>
    </w:p>
    <w:p w14:paraId="711FFAAF" w14:textId="77777777" w:rsidR="00165646" w:rsidRPr="00696B5E" w:rsidRDefault="00165646" w:rsidP="00B13F97">
      <w:pPr>
        <w:spacing w:after="0" w:line="240" w:lineRule="auto"/>
        <w:jc w:val="both"/>
        <w:rPr>
          <w:rFonts w:ascii="Arial" w:eastAsia="Times New Roman" w:hAnsi="Arial" w:cs="Arial"/>
          <w:bCs/>
          <w:sz w:val="18"/>
          <w:szCs w:val="18"/>
          <w:lang w:val="es-MX" w:eastAsia="es-ES"/>
        </w:rPr>
      </w:pPr>
    </w:p>
    <w:p w14:paraId="00574C8A" w14:textId="0C7F4F56" w:rsidR="00165646" w:rsidRPr="00696B5E" w:rsidRDefault="00165646" w:rsidP="00794247">
      <w:pPr>
        <w:tabs>
          <w:tab w:val="num" w:pos="284"/>
        </w:tabs>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metodologías concordantes con los modelos para la valoración de dichos instrumentos, </w:t>
      </w:r>
      <w:proofErr w:type="gramStart"/>
      <w:r w:rsidRPr="00696B5E">
        <w:rPr>
          <w:rFonts w:ascii="Arial" w:eastAsia="Times New Roman" w:hAnsi="Arial" w:cs="Arial"/>
          <w:sz w:val="18"/>
          <w:szCs w:val="18"/>
          <w:lang w:val="es-MX" w:eastAsia="es-ES"/>
        </w:rPr>
        <w:t>de acuerdo a</w:t>
      </w:r>
      <w:proofErr w:type="gramEnd"/>
      <w:r w:rsidRPr="00696B5E">
        <w:rPr>
          <w:rFonts w:ascii="Arial" w:eastAsia="Times New Roman" w:hAnsi="Arial" w:cs="Arial"/>
          <w:sz w:val="18"/>
          <w:szCs w:val="18"/>
          <w:lang w:val="es-MX" w:eastAsia="es-ES"/>
        </w:rPr>
        <w:t xml:space="preserve"> lo estipulado en el Capítulo XVIII de la </w:t>
      </w:r>
      <w:r w:rsidR="00C73C7B" w:rsidRPr="00696B5E">
        <w:rPr>
          <w:rFonts w:ascii="Arial" w:eastAsia="Times New Roman" w:hAnsi="Arial" w:cs="Arial"/>
          <w:sz w:val="18"/>
          <w:szCs w:val="18"/>
          <w:lang w:val="es-MX" w:eastAsia="es-ES"/>
        </w:rPr>
        <w:t>CBCF.</w:t>
      </w:r>
    </w:p>
    <w:p w14:paraId="3020034E" w14:textId="77777777" w:rsidR="00165646" w:rsidRPr="00696B5E" w:rsidRDefault="00165646" w:rsidP="00707FE1">
      <w:pPr>
        <w:spacing w:after="0" w:line="240" w:lineRule="auto"/>
        <w:jc w:val="both"/>
        <w:rPr>
          <w:rFonts w:ascii="Arial" w:eastAsia="Times New Roman" w:hAnsi="Arial" w:cs="Arial"/>
          <w:bCs/>
          <w:sz w:val="18"/>
          <w:szCs w:val="18"/>
          <w:lang w:val="es-MX" w:eastAsia="es-ES"/>
        </w:rPr>
      </w:pPr>
    </w:p>
    <w:p w14:paraId="572B9184" w14:textId="6AE6BB4C" w:rsidR="00165646" w:rsidRPr="00237547" w:rsidRDefault="00165646" w:rsidP="00237547">
      <w:pPr>
        <w:pStyle w:val="Prrafodelista"/>
        <w:numPr>
          <w:ilvl w:val="1"/>
          <w:numId w:val="34"/>
        </w:numPr>
        <w:spacing w:after="0" w:line="240" w:lineRule="auto"/>
        <w:ind w:left="709" w:hanging="709"/>
        <w:jc w:val="both"/>
        <w:rPr>
          <w:rFonts w:ascii="Arial" w:eastAsia="Times New Roman" w:hAnsi="Arial" w:cs="Arial"/>
          <w:b/>
          <w:sz w:val="18"/>
          <w:szCs w:val="18"/>
          <w:lang w:val="es-ES" w:eastAsia="es-ES"/>
        </w:rPr>
      </w:pPr>
      <w:r w:rsidRPr="00237547">
        <w:rPr>
          <w:rFonts w:ascii="Arial" w:eastAsia="Times New Roman" w:hAnsi="Arial" w:cs="Arial"/>
          <w:b/>
          <w:sz w:val="18"/>
          <w:szCs w:val="18"/>
          <w:lang w:val="es-ES" w:eastAsia="es-ES"/>
        </w:rPr>
        <w:t>Matrices de choques por componente principal, volatilidades y correlaciones de los factores de riesgo</w:t>
      </w:r>
    </w:p>
    <w:p w14:paraId="3D7A566F" w14:textId="77777777" w:rsidR="00165646" w:rsidRPr="00696B5E" w:rsidRDefault="00165646" w:rsidP="00707FE1">
      <w:pPr>
        <w:spacing w:after="0" w:line="240" w:lineRule="auto"/>
        <w:jc w:val="both"/>
        <w:rPr>
          <w:rFonts w:ascii="Arial" w:eastAsia="Times New Roman" w:hAnsi="Arial" w:cs="Arial"/>
          <w:snapToGrid w:val="0"/>
          <w:sz w:val="18"/>
          <w:szCs w:val="18"/>
          <w:lang w:val="es-MX" w:eastAsia="es-ES"/>
        </w:rPr>
      </w:pPr>
    </w:p>
    <w:p w14:paraId="1952C63B" w14:textId="4C65488A" w:rsidR="00165646" w:rsidRPr="00696B5E" w:rsidRDefault="00165646" w:rsidP="00707FE1">
      <w:pP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MX" w:eastAsia="es-ES"/>
        </w:rPr>
        <w:t xml:space="preserve">Las matrices de choques por componente principal, las volatilidades y la matriz de correlaciones se actualizarán mensualmente, a más tardar el día 25 de cada mes, o el siguiente día hábil si este último no lo es, a través de la página web de la </w:t>
      </w:r>
      <w:r w:rsidR="001B396F" w:rsidRPr="00696B5E">
        <w:rPr>
          <w:rFonts w:ascii="Arial" w:eastAsia="Times New Roman" w:hAnsi="Arial" w:cs="Arial"/>
          <w:snapToGrid w:val="0"/>
          <w:sz w:val="18"/>
          <w:szCs w:val="18"/>
          <w:lang w:val="es-MX" w:eastAsia="es-ES"/>
        </w:rPr>
        <w:t>SFC</w:t>
      </w:r>
      <w:r w:rsidRPr="00696B5E">
        <w:rPr>
          <w:rFonts w:ascii="Arial" w:eastAsia="Times New Roman" w:hAnsi="Arial" w:cs="Arial"/>
          <w:snapToGrid w:val="0"/>
          <w:sz w:val="18"/>
          <w:szCs w:val="18"/>
          <w:lang w:val="es-MX" w:eastAsia="es-ES"/>
        </w:rPr>
        <w:t>.</w:t>
      </w:r>
    </w:p>
    <w:p w14:paraId="649CBDFB" w14:textId="6C313CF1" w:rsidR="00570E03" w:rsidRPr="00696B5E" w:rsidRDefault="00570E03" w:rsidP="00707FE1">
      <w:pPr>
        <w:spacing w:after="0" w:line="240" w:lineRule="auto"/>
        <w:jc w:val="both"/>
        <w:rPr>
          <w:rFonts w:ascii="Arial" w:eastAsia="Times New Roman" w:hAnsi="Arial" w:cs="Arial"/>
          <w:b/>
          <w:bCs/>
          <w:snapToGrid w:val="0"/>
          <w:sz w:val="18"/>
          <w:szCs w:val="18"/>
          <w:lang w:val="es-MX" w:eastAsia="es-ES"/>
        </w:rPr>
      </w:pPr>
    </w:p>
    <w:p w14:paraId="37FBE5EF" w14:textId="0E94F758" w:rsidR="00570E03" w:rsidRPr="00696B5E" w:rsidRDefault="005E3AEF" w:rsidP="002E33B8">
      <w:pPr>
        <w:numPr>
          <w:ilvl w:val="1"/>
          <w:numId w:val="34"/>
        </w:numPr>
        <w:pBdr>
          <w:left w:val="single" w:sz="4" w:space="4" w:color="auto"/>
        </w:pBdr>
        <w:spacing w:after="0" w:line="240" w:lineRule="auto"/>
        <w:ind w:left="0" w:firstLine="0"/>
        <w:contextualSpacing/>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 xml:space="preserve">Evaluación del riesgo de mercado por operaciones de </w:t>
      </w:r>
      <w:r w:rsidR="00DA295A">
        <w:rPr>
          <w:rFonts w:ascii="Arial" w:eastAsia="Times New Roman" w:hAnsi="Arial" w:cs="Arial"/>
          <w:b/>
          <w:sz w:val="18"/>
          <w:szCs w:val="18"/>
          <w:lang w:val="es-ES" w:eastAsia="es-ES"/>
        </w:rPr>
        <w:t>derivados de crédito</w:t>
      </w:r>
    </w:p>
    <w:p w14:paraId="7E9544F0" w14:textId="3F82A685" w:rsidR="00F6687F" w:rsidRPr="00696B5E" w:rsidRDefault="00F6687F" w:rsidP="00707FE1">
      <w:pPr>
        <w:spacing w:after="0" w:line="240" w:lineRule="auto"/>
        <w:jc w:val="both"/>
        <w:rPr>
          <w:rFonts w:ascii="Arial" w:eastAsia="Times New Roman" w:hAnsi="Arial" w:cs="Arial"/>
          <w:b/>
          <w:bCs/>
          <w:snapToGrid w:val="0"/>
          <w:sz w:val="18"/>
          <w:szCs w:val="18"/>
          <w:lang w:val="es-MX" w:eastAsia="es-ES"/>
        </w:rPr>
      </w:pPr>
    </w:p>
    <w:p w14:paraId="532E6797" w14:textId="77FBD25D" w:rsidR="00895988" w:rsidRPr="00696B5E" w:rsidRDefault="00895988" w:rsidP="002E33B8">
      <w:pPr>
        <w:pBdr>
          <w:left w:val="single" w:sz="4" w:space="4" w:color="auto"/>
        </w:pBdr>
        <w:spacing w:after="0" w:line="240" w:lineRule="auto"/>
        <w:jc w:val="both"/>
        <w:rPr>
          <w:rFonts w:ascii="Arial" w:eastAsia="Times New Roman" w:hAnsi="Arial" w:cs="Arial"/>
          <w:snapToGrid w:val="0"/>
          <w:sz w:val="18"/>
          <w:szCs w:val="18"/>
          <w:lang w:val="es-ES_tradnl" w:eastAsia="es-ES"/>
        </w:rPr>
      </w:pPr>
      <w:r w:rsidRPr="00696B5E">
        <w:rPr>
          <w:rFonts w:ascii="Arial" w:eastAsia="Times New Roman" w:hAnsi="Arial" w:cs="Arial"/>
          <w:snapToGrid w:val="0"/>
          <w:sz w:val="18"/>
          <w:szCs w:val="18"/>
          <w:lang w:val="es-ES_tradnl" w:eastAsia="es-ES"/>
        </w:rPr>
        <w:t xml:space="preserve">Aquellas entidades que por su régimen de inversiones puedan celebrar </w:t>
      </w:r>
      <w:r w:rsidR="00DA295A" w:rsidRPr="00CC79FE">
        <w:rPr>
          <w:rFonts w:ascii="Arial" w:eastAsia="Times New Roman" w:hAnsi="Arial" w:cs="Arial"/>
          <w:b/>
          <w:bCs/>
          <w:snapToGrid w:val="0"/>
          <w:sz w:val="18"/>
          <w:szCs w:val="18"/>
          <w:lang w:val="es-ES_tradnl" w:eastAsia="es-ES"/>
        </w:rPr>
        <w:t>derivados de crédito</w:t>
      </w:r>
      <w:r w:rsidRPr="00696B5E">
        <w:rPr>
          <w:rFonts w:ascii="Arial" w:eastAsia="Times New Roman" w:hAnsi="Arial" w:cs="Arial"/>
          <w:snapToGrid w:val="0"/>
          <w:sz w:val="18"/>
          <w:szCs w:val="18"/>
          <w:lang w:val="es-ES_tradnl" w:eastAsia="es-ES"/>
        </w:rPr>
        <w:t xml:space="preserve"> con fines de negociación o inversión, deberán medir la exposición al riesgo de mercado por estas operaciones de acuerdo con lo señalado en el presente numeral.</w:t>
      </w:r>
    </w:p>
    <w:p w14:paraId="467A83C7" w14:textId="77777777" w:rsidR="00E95042" w:rsidRPr="00696B5E" w:rsidRDefault="00E95042" w:rsidP="00707FE1">
      <w:pPr>
        <w:spacing w:after="0" w:line="240" w:lineRule="auto"/>
        <w:jc w:val="both"/>
        <w:rPr>
          <w:rFonts w:ascii="Arial" w:eastAsia="Times New Roman" w:hAnsi="Arial" w:cs="Arial"/>
          <w:snapToGrid w:val="0"/>
          <w:sz w:val="18"/>
          <w:szCs w:val="18"/>
          <w:lang w:val="es-ES_tradnl" w:eastAsia="es-ES"/>
        </w:rPr>
      </w:pPr>
    </w:p>
    <w:p w14:paraId="25787126" w14:textId="52603A9F" w:rsidR="00895988" w:rsidRPr="00696B5E" w:rsidRDefault="00895988" w:rsidP="007F5197">
      <w:pPr>
        <w:pBdr>
          <w:left w:val="single" w:sz="4" w:space="4" w:color="auto"/>
        </w:pBdr>
        <w:spacing w:after="0" w:line="240" w:lineRule="auto"/>
        <w:jc w:val="both"/>
        <w:rPr>
          <w:rFonts w:ascii="Arial" w:eastAsia="Times New Roman" w:hAnsi="Arial" w:cs="Arial"/>
          <w:snapToGrid w:val="0"/>
          <w:sz w:val="18"/>
          <w:szCs w:val="18"/>
          <w:lang w:val="es-ES_tradnl" w:eastAsia="es-ES"/>
        </w:rPr>
      </w:pPr>
      <w:r w:rsidRPr="00696B5E">
        <w:rPr>
          <w:rFonts w:ascii="Arial" w:eastAsia="Times New Roman" w:hAnsi="Arial" w:cs="Arial"/>
          <w:snapToGrid w:val="0"/>
          <w:sz w:val="18"/>
          <w:szCs w:val="18"/>
          <w:lang w:val="es-ES_tradnl" w:eastAsia="es-ES"/>
        </w:rPr>
        <w:t>2.9.1</w:t>
      </w:r>
      <w:r w:rsidR="00EC0230" w:rsidRPr="00696B5E">
        <w:rPr>
          <w:rFonts w:ascii="Arial" w:eastAsia="Times New Roman" w:hAnsi="Arial" w:cs="Arial"/>
          <w:snapToGrid w:val="0"/>
          <w:sz w:val="18"/>
          <w:szCs w:val="18"/>
          <w:lang w:val="es-ES_tradnl" w:eastAsia="es-ES"/>
        </w:rPr>
        <w:t>.</w:t>
      </w:r>
      <w:r w:rsidRPr="00696B5E">
        <w:rPr>
          <w:rFonts w:ascii="Arial" w:eastAsia="Times New Roman" w:hAnsi="Arial" w:cs="Arial"/>
          <w:snapToGrid w:val="0"/>
          <w:sz w:val="18"/>
          <w:szCs w:val="18"/>
          <w:lang w:val="es-ES_tradnl" w:eastAsia="es-ES"/>
        </w:rPr>
        <w:t xml:space="preserve"> Factores de riesgo asociados a operaciones de </w:t>
      </w:r>
      <w:r w:rsidR="00DA295A" w:rsidRPr="00CC79FE">
        <w:rPr>
          <w:rFonts w:ascii="Arial" w:eastAsia="Times New Roman" w:hAnsi="Arial" w:cs="Arial"/>
          <w:b/>
          <w:bCs/>
          <w:snapToGrid w:val="0"/>
          <w:sz w:val="18"/>
          <w:szCs w:val="18"/>
          <w:lang w:val="es-ES_tradnl" w:eastAsia="es-ES"/>
        </w:rPr>
        <w:t>derivados de crédito</w:t>
      </w:r>
    </w:p>
    <w:p w14:paraId="1899852A" w14:textId="77777777" w:rsidR="00895988" w:rsidRPr="00696B5E" w:rsidRDefault="00895988" w:rsidP="00707FE1">
      <w:pPr>
        <w:spacing w:after="0" w:line="240" w:lineRule="auto"/>
        <w:jc w:val="both"/>
        <w:rPr>
          <w:rFonts w:ascii="Arial" w:eastAsia="Times New Roman" w:hAnsi="Arial" w:cs="Arial"/>
          <w:snapToGrid w:val="0"/>
          <w:sz w:val="18"/>
          <w:szCs w:val="18"/>
          <w:lang w:val="es-ES_tradnl" w:eastAsia="es-ES"/>
        </w:rPr>
      </w:pPr>
    </w:p>
    <w:p w14:paraId="5496653D" w14:textId="43919A22" w:rsidR="00895988" w:rsidRDefault="00895988" w:rsidP="007F5197">
      <w:pPr>
        <w:pBdr>
          <w:left w:val="single" w:sz="4" w:space="4" w:color="auto"/>
        </w:pBd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ES_tradnl" w:eastAsia="es-ES"/>
        </w:rPr>
        <w:t xml:space="preserve">La exposición neta que una entidad tenga en </w:t>
      </w:r>
      <w:r w:rsidR="00DA295A" w:rsidRPr="00CC79FE">
        <w:rPr>
          <w:rFonts w:ascii="Arial" w:eastAsia="Times New Roman" w:hAnsi="Arial" w:cs="Arial"/>
          <w:b/>
          <w:bCs/>
          <w:snapToGrid w:val="0"/>
          <w:sz w:val="18"/>
          <w:szCs w:val="18"/>
          <w:lang w:val="es-ES_tradnl" w:eastAsia="es-ES"/>
        </w:rPr>
        <w:t>derivados de crédito</w:t>
      </w:r>
      <w:r w:rsidRPr="00696B5E">
        <w:rPr>
          <w:rFonts w:ascii="Arial" w:eastAsia="Times New Roman" w:hAnsi="Arial" w:cs="Arial"/>
          <w:snapToGrid w:val="0"/>
          <w:sz w:val="18"/>
          <w:szCs w:val="18"/>
          <w:lang w:val="es-ES_tradnl" w:eastAsia="es-ES"/>
        </w:rPr>
        <w:t xml:space="preserve"> con fines de negociación o inversión, estarán asociadas </w:t>
      </w:r>
      <w:r w:rsidRPr="00696B5E">
        <w:rPr>
          <w:rFonts w:ascii="Arial" w:eastAsia="Times New Roman" w:hAnsi="Arial" w:cs="Arial"/>
          <w:snapToGrid w:val="0"/>
          <w:sz w:val="18"/>
          <w:szCs w:val="18"/>
          <w:lang w:val="es-MX" w:eastAsia="es-ES"/>
        </w:rPr>
        <w:t xml:space="preserve">al factor de riesgo de </w:t>
      </w:r>
      <w:r w:rsidR="00DA295A" w:rsidRPr="00CC79FE">
        <w:rPr>
          <w:rFonts w:ascii="Arial" w:eastAsia="Times New Roman" w:hAnsi="Arial" w:cs="Arial"/>
          <w:b/>
          <w:bCs/>
          <w:snapToGrid w:val="0"/>
          <w:sz w:val="18"/>
          <w:szCs w:val="18"/>
          <w:lang w:val="es-MX" w:eastAsia="es-ES"/>
        </w:rPr>
        <w:t>derivados de crédito</w:t>
      </w:r>
      <w:r w:rsidRPr="00CC79FE">
        <w:rPr>
          <w:rFonts w:ascii="Arial" w:eastAsia="Times New Roman" w:hAnsi="Arial" w:cs="Arial"/>
          <w:b/>
          <w:bCs/>
          <w:snapToGrid w:val="0"/>
          <w:sz w:val="18"/>
          <w:szCs w:val="18"/>
          <w:lang w:val="es-MX" w:eastAsia="es-ES"/>
        </w:rPr>
        <w:t>.</w:t>
      </w:r>
    </w:p>
    <w:p w14:paraId="1FF25D84" w14:textId="016BD425" w:rsidR="00DA295A" w:rsidRDefault="00DA295A" w:rsidP="00707FE1">
      <w:pPr>
        <w:spacing w:after="0" w:line="240" w:lineRule="auto"/>
        <w:jc w:val="both"/>
        <w:rPr>
          <w:rFonts w:ascii="Arial" w:eastAsia="Times New Roman" w:hAnsi="Arial" w:cs="Arial"/>
          <w:snapToGrid w:val="0"/>
          <w:sz w:val="18"/>
          <w:szCs w:val="18"/>
          <w:lang w:val="es-MX" w:eastAsia="es-ES"/>
        </w:rPr>
      </w:pPr>
    </w:p>
    <w:p w14:paraId="20B64997" w14:textId="560D3D4C" w:rsidR="00DA295A" w:rsidRPr="007F5197" w:rsidRDefault="00DA295A" w:rsidP="007F5197">
      <w:pPr>
        <w:pBdr>
          <w:left w:val="single" w:sz="4" w:space="4" w:color="auto"/>
        </w:pBdr>
        <w:spacing w:after="0" w:line="240" w:lineRule="auto"/>
        <w:jc w:val="both"/>
        <w:rPr>
          <w:rFonts w:ascii="Arial" w:eastAsia="Times New Roman" w:hAnsi="Arial" w:cs="Arial"/>
          <w:bCs/>
          <w:snapToGrid w:val="0"/>
          <w:sz w:val="18"/>
          <w:szCs w:val="18"/>
          <w:lang w:val="es-MX" w:eastAsia="es-ES"/>
        </w:rPr>
      </w:pPr>
      <w:r w:rsidRPr="007F5197">
        <w:rPr>
          <w:rFonts w:ascii="Arial" w:eastAsia="Times New Roman" w:hAnsi="Arial" w:cs="Arial"/>
          <w:bCs/>
          <w:snapToGrid w:val="0"/>
          <w:sz w:val="18"/>
          <w:szCs w:val="18"/>
          <w:lang w:val="es-MX" w:eastAsia="es-ES"/>
        </w:rPr>
        <w:t>Cuando se trate de</w:t>
      </w:r>
      <w:r w:rsidRPr="00DA295A">
        <w:rPr>
          <w:rFonts w:ascii="Arial" w:eastAsia="Times New Roman" w:hAnsi="Arial" w:cs="Arial"/>
          <w:b/>
          <w:snapToGrid w:val="0"/>
          <w:sz w:val="18"/>
          <w:szCs w:val="18"/>
          <w:lang w:val="es-MX" w:eastAsia="es-ES"/>
        </w:rPr>
        <w:t xml:space="preserve"> </w:t>
      </w:r>
      <w:r>
        <w:rPr>
          <w:rFonts w:ascii="Arial" w:eastAsia="Times New Roman" w:hAnsi="Arial" w:cs="Arial"/>
          <w:b/>
          <w:snapToGrid w:val="0"/>
          <w:sz w:val="18"/>
          <w:szCs w:val="18"/>
          <w:lang w:val="es-MX" w:eastAsia="es-ES"/>
        </w:rPr>
        <w:t>d</w:t>
      </w:r>
      <w:r w:rsidRPr="00DA295A">
        <w:rPr>
          <w:rFonts w:ascii="Arial" w:eastAsia="Times New Roman" w:hAnsi="Arial" w:cs="Arial"/>
          <w:b/>
          <w:snapToGrid w:val="0"/>
          <w:sz w:val="18"/>
          <w:szCs w:val="18"/>
          <w:lang w:val="es-MX" w:eastAsia="es-ES"/>
        </w:rPr>
        <w:t xml:space="preserve">erivados de </w:t>
      </w:r>
      <w:r>
        <w:rPr>
          <w:rFonts w:ascii="Arial" w:eastAsia="Times New Roman" w:hAnsi="Arial" w:cs="Arial"/>
          <w:b/>
          <w:snapToGrid w:val="0"/>
          <w:sz w:val="18"/>
          <w:szCs w:val="18"/>
          <w:lang w:val="es-MX" w:eastAsia="es-ES"/>
        </w:rPr>
        <w:t>c</w:t>
      </w:r>
      <w:r w:rsidRPr="00DA295A">
        <w:rPr>
          <w:rFonts w:ascii="Arial" w:eastAsia="Times New Roman" w:hAnsi="Arial" w:cs="Arial"/>
          <w:b/>
          <w:snapToGrid w:val="0"/>
          <w:sz w:val="18"/>
          <w:szCs w:val="18"/>
          <w:lang w:val="es-MX" w:eastAsia="es-ES"/>
        </w:rPr>
        <w:t xml:space="preserve">rédito </w:t>
      </w:r>
      <w:r w:rsidRPr="007F5197">
        <w:rPr>
          <w:rFonts w:ascii="Arial" w:eastAsia="Times New Roman" w:hAnsi="Arial" w:cs="Arial"/>
          <w:bCs/>
          <w:snapToGrid w:val="0"/>
          <w:sz w:val="18"/>
          <w:szCs w:val="18"/>
          <w:lang w:val="es-MX" w:eastAsia="es-ES"/>
        </w:rPr>
        <w:t>que, de acuerdo con su valoración, no puedan descomponerse y se asemejen en su comportamiento y estructura a una opción, el riesgo de mercado deberá calcularse de acuerdo con las reglas contenidas en el numeral 2.7 del presente instructivo.</w:t>
      </w:r>
    </w:p>
    <w:p w14:paraId="28B6ABDB" w14:textId="77777777" w:rsidR="00895988" w:rsidRPr="00696B5E" w:rsidRDefault="00895988" w:rsidP="00707FE1">
      <w:pPr>
        <w:spacing w:after="0" w:line="240" w:lineRule="auto"/>
        <w:jc w:val="both"/>
        <w:rPr>
          <w:rFonts w:ascii="Arial" w:eastAsia="Times New Roman" w:hAnsi="Arial" w:cs="Arial"/>
          <w:snapToGrid w:val="0"/>
          <w:sz w:val="18"/>
          <w:szCs w:val="18"/>
          <w:lang w:val="es-ES_tradnl" w:eastAsia="es-ES"/>
        </w:rPr>
      </w:pPr>
    </w:p>
    <w:p w14:paraId="02EBAA1C" w14:textId="76B518F4" w:rsidR="00895988" w:rsidRPr="00696B5E" w:rsidRDefault="00895988" w:rsidP="00707FE1">
      <w:pPr>
        <w:spacing w:after="0" w:line="240" w:lineRule="auto"/>
        <w:jc w:val="both"/>
        <w:rPr>
          <w:rFonts w:ascii="Arial" w:eastAsia="Times New Roman" w:hAnsi="Arial" w:cs="Arial"/>
          <w:snapToGrid w:val="0"/>
          <w:sz w:val="18"/>
          <w:szCs w:val="18"/>
          <w:lang w:val="es-ES_tradnl" w:eastAsia="es-ES"/>
        </w:rPr>
      </w:pPr>
      <w:r w:rsidRPr="00696B5E">
        <w:rPr>
          <w:rFonts w:ascii="Arial" w:eastAsia="Times New Roman" w:hAnsi="Arial" w:cs="Arial"/>
          <w:snapToGrid w:val="0"/>
          <w:sz w:val="18"/>
          <w:szCs w:val="18"/>
          <w:lang w:val="es-ES_tradnl" w:eastAsia="es-ES"/>
        </w:rPr>
        <w:t>2.9.2</w:t>
      </w:r>
      <w:r w:rsidR="00EC0230" w:rsidRPr="00696B5E">
        <w:rPr>
          <w:rFonts w:ascii="Arial" w:eastAsia="Times New Roman" w:hAnsi="Arial" w:cs="Arial"/>
          <w:snapToGrid w:val="0"/>
          <w:sz w:val="18"/>
          <w:szCs w:val="18"/>
          <w:lang w:val="es-ES_tradnl" w:eastAsia="es-ES"/>
        </w:rPr>
        <w:t>.</w:t>
      </w:r>
      <w:r w:rsidRPr="00696B5E">
        <w:rPr>
          <w:rFonts w:ascii="Arial" w:eastAsia="Times New Roman" w:hAnsi="Arial" w:cs="Arial"/>
          <w:snapToGrid w:val="0"/>
          <w:sz w:val="18"/>
          <w:szCs w:val="18"/>
          <w:lang w:val="es-ES_tradnl" w:eastAsia="es-ES"/>
        </w:rPr>
        <w:t xml:space="preserve"> </w:t>
      </w:r>
      <w:r w:rsidRPr="00696B5E">
        <w:rPr>
          <w:rFonts w:ascii="Arial" w:eastAsia="Times New Roman" w:hAnsi="Arial" w:cs="Arial"/>
          <w:snapToGrid w:val="0"/>
          <w:sz w:val="18"/>
          <w:szCs w:val="18"/>
          <w:lang w:val="es-MX" w:eastAsia="es-ES"/>
        </w:rPr>
        <w:t>Cálculo de la exposición neta y sensibilidad al riesgo</w:t>
      </w:r>
    </w:p>
    <w:p w14:paraId="25E99478" w14:textId="77777777" w:rsidR="00895988" w:rsidRPr="00696B5E" w:rsidRDefault="00895988" w:rsidP="00707FE1">
      <w:pPr>
        <w:spacing w:after="0" w:line="240" w:lineRule="auto"/>
        <w:jc w:val="both"/>
        <w:rPr>
          <w:rFonts w:ascii="Arial" w:eastAsia="Times New Roman" w:hAnsi="Arial" w:cs="Arial"/>
          <w:snapToGrid w:val="0"/>
          <w:sz w:val="18"/>
          <w:szCs w:val="18"/>
          <w:lang w:val="es-ES_tradnl" w:eastAsia="es-ES"/>
        </w:rPr>
      </w:pPr>
    </w:p>
    <w:p w14:paraId="0CF17E17" w14:textId="76AFC34B" w:rsidR="00895988" w:rsidRPr="00696B5E" w:rsidRDefault="00895988" w:rsidP="007F5197">
      <w:pPr>
        <w:pBdr>
          <w:left w:val="single" w:sz="4" w:space="4" w:color="auto"/>
        </w:pBd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MX" w:eastAsia="es-ES"/>
        </w:rPr>
        <w:t xml:space="preserve">La exposición neta en posiciones en </w:t>
      </w:r>
      <w:r w:rsidR="00DA295A" w:rsidRPr="00CC79FE">
        <w:rPr>
          <w:rFonts w:ascii="Arial" w:eastAsia="Times New Roman" w:hAnsi="Arial" w:cs="Arial"/>
          <w:b/>
          <w:bCs/>
          <w:snapToGrid w:val="0"/>
          <w:sz w:val="18"/>
          <w:szCs w:val="18"/>
          <w:lang w:val="es-MX" w:eastAsia="es-ES"/>
        </w:rPr>
        <w:t>derivados de crédito</w:t>
      </w:r>
      <w:r w:rsidRPr="00696B5E">
        <w:rPr>
          <w:rFonts w:ascii="Arial" w:eastAsia="Times New Roman" w:hAnsi="Arial" w:cs="Arial"/>
          <w:snapToGrid w:val="0"/>
          <w:sz w:val="18"/>
          <w:szCs w:val="18"/>
          <w:lang w:val="es-MX" w:eastAsia="es-ES"/>
        </w:rPr>
        <w:t xml:space="preserve"> deberá calcularse como la suma de las posiciones de las operaciones de</w:t>
      </w:r>
      <w:r w:rsidR="00DA295A">
        <w:rPr>
          <w:rFonts w:ascii="Arial" w:eastAsia="Times New Roman" w:hAnsi="Arial" w:cs="Arial"/>
          <w:snapToGrid w:val="0"/>
          <w:sz w:val="18"/>
          <w:szCs w:val="18"/>
          <w:lang w:val="es-MX" w:eastAsia="es-ES"/>
        </w:rPr>
        <w:t xml:space="preserve"> </w:t>
      </w:r>
      <w:r w:rsidR="00DA295A" w:rsidRPr="00CC79FE">
        <w:rPr>
          <w:rFonts w:ascii="Arial" w:eastAsia="Times New Roman" w:hAnsi="Arial" w:cs="Arial"/>
          <w:b/>
          <w:bCs/>
          <w:snapToGrid w:val="0"/>
          <w:sz w:val="18"/>
          <w:szCs w:val="18"/>
          <w:lang w:val="es-MX" w:eastAsia="es-ES"/>
        </w:rPr>
        <w:t>derivados de crédito</w:t>
      </w:r>
      <w:r w:rsidRPr="00696B5E">
        <w:rPr>
          <w:rFonts w:ascii="Arial" w:eastAsia="Times New Roman" w:hAnsi="Arial" w:cs="Arial"/>
          <w:snapToGrid w:val="0"/>
          <w:sz w:val="18"/>
          <w:szCs w:val="18"/>
          <w:lang w:val="es-MX" w:eastAsia="es-ES"/>
        </w:rPr>
        <w:t xml:space="preserve"> de la entidad.</w:t>
      </w:r>
    </w:p>
    <w:p w14:paraId="0BE39532"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p>
    <w:p w14:paraId="34DF57E3"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MX" w:eastAsia="es-ES"/>
        </w:rPr>
        <w:t>El valor en riesgo para este factor de riesgo se calculará de la siguiente forma:</w:t>
      </w:r>
    </w:p>
    <w:p w14:paraId="773B6632"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p>
    <w:p w14:paraId="23C7570D" w14:textId="77777777" w:rsidR="000D1247" w:rsidRPr="00696B5E" w:rsidRDefault="000D1247" w:rsidP="000D1247">
      <w:pPr>
        <w:spacing w:after="0" w:line="240" w:lineRule="auto"/>
        <w:jc w:val="both"/>
        <w:rPr>
          <w:rFonts w:ascii="Arial" w:eastAsia="Times New Roman" w:hAnsi="Arial" w:cs="Arial"/>
          <w:snapToGrid w:val="0"/>
          <w:sz w:val="18"/>
          <w:szCs w:val="18"/>
          <w:lang w:val="es-MX" w:eastAsia="es-ES"/>
        </w:rPr>
      </w:pPr>
    </w:p>
    <w:p w14:paraId="3CCC77FD" w14:textId="77777777" w:rsidR="00895988" w:rsidRPr="00696B5E" w:rsidRDefault="00895988" w:rsidP="00707FE1">
      <w:pPr>
        <w:spacing w:after="0" w:line="240" w:lineRule="auto"/>
        <w:jc w:val="center"/>
        <w:rPr>
          <w:rFonts w:ascii="Arial" w:eastAsia="Times New Roman" w:hAnsi="Arial" w:cs="Arial"/>
          <w:snapToGrid w:val="0"/>
          <w:sz w:val="18"/>
          <w:szCs w:val="18"/>
          <w:lang w:val="es-MX" w:eastAsia="es-ES"/>
        </w:rPr>
      </w:pPr>
      <w:r w:rsidRPr="00696B5E">
        <w:rPr>
          <w:rFonts w:ascii="Arial" w:eastAsia="Times New Roman" w:hAnsi="Arial" w:cs="Arial"/>
          <w:noProof/>
          <w:snapToGrid w:val="0"/>
          <w:sz w:val="18"/>
          <w:szCs w:val="18"/>
          <w:lang w:val="es-MX" w:eastAsia="es-ES"/>
        </w:rPr>
        <w:drawing>
          <wp:inline distT="0" distB="0" distL="0" distR="0" wp14:anchorId="70C20863" wp14:editId="5EC8B6D3">
            <wp:extent cx="1765300" cy="222250"/>
            <wp:effectExtent l="0" t="0" r="0" b="0"/>
            <wp:docPr id="16" name="Imagen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pic:cNvPicPr>
                  </pic:nvPicPr>
                  <pic:blipFill>
                    <a:blip r:embed="rId25" cstate="print">
                      <a:extLst>
                        <a:ext uri="{28A0092B-C50C-407E-A947-70E740481C1C}">
                          <a14:useLocalDpi xmlns:a14="http://schemas.microsoft.com/office/drawing/2010/main" val="0"/>
                        </a:ext>
                      </a:extLst>
                    </a:blip>
                    <a:srcRect l="35788" r="35799" b="32196"/>
                    <a:stretch>
                      <a:fillRect/>
                    </a:stretch>
                  </pic:blipFill>
                  <pic:spPr bwMode="auto">
                    <a:xfrm>
                      <a:off x="0" y="0"/>
                      <a:ext cx="1765300" cy="222250"/>
                    </a:xfrm>
                    <a:prstGeom prst="rect">
                      <a:avLst/>
                    </a:prstGeom>
                    <a:noFill/>
                    <a:ln>
                      <a:noFill/>
                    </a:ln>
                  </pic:spPr>
                </pic:pic>
              </a:graphicData>
            </a:graphic>
          </wp:inline>
        </w:drawing>
      </w:r>
    </w:p>
    <w:p w14:paraId="0B23E713"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p>
    <w:p w14:paraId="4B97875B" w14:textId="77777777" w:rsidR="000D1247" w:rsidRPr="00696B5E" w:rsidRDefault="000D1247" w:rsidP="000D1247">
      <w:pPr>
        <w:spacing w:after="0" w:line="240" w:lineRule="auto"/>
        <w:jc w:val="both"/>
        <w:rPr>
          <w:rFonts w:ascii="Arial" w:eastAsia="Times New Roman" w:hAnsi="Arial" w:cs="Arial"/>
          <w:snapToGrid w:val="0"/>
          <w:sz w:val="18"/>
          <w:szCs w:val="18"/>
          <w:lang w:val="es-MX" w:eastAsia="es-ES"/>
        </w:rPr>
      </w:pPr>
    </w:p>
    <w:p w14:paraId="7B648649"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MX" w:eastAsia="es-ES"/>
        </w:rPr>
        <w:t>Donde:</w:t>
      </w:r>
    </w:p>
    <w:p w14:paraId="5A809C2C"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p>
    <w:p w14:paraId="12F4355B"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proofErr w:type="spellStart"/>
      <w:r w:rsidRPr="00696B5E">
        <w:rPr>
          <w:rFonts w:ascii="Arial" w:eastAsia="Times New Roman" w:hAnsi="Arial" w:cs="Arial"/>
          <w:snapToGrid w:val="0"/>
          <w:sz w:val="18"/>
          <w:szCs w:val="18"/>
          <w:lang w:val="es-MX" w:eastAsia="es-ES"/>
        </w:rPr>
        <w:t>VeR</w:t>
      </w:r>
      <w:proofErr w:type="spellEnd"/>
      <w:r w:rsidRPr="00696B5E">
        <w:rPr>
          <w:rFonts w:ascii="Arial" w:eastAsia="Times New Roman" w:hAnsi="Arial" w:cs="Arial"/>
          <w:snapToGrid w:val="0"/>
          <w:sz w:val="18"/>
          <w:szCs w:val="18"/>
          <w:lang w:val="es-MX" w:eastAsia="es-ES"/>
        </w:rPr>
        <w:t>: Valor en riesgo por variación en el factor de riesgo.</w:t>
      </w:r>
    </w:p>
    <w:p w14:paraId="3DAF90B7" w14:textId="2E8B60B9" w:rsidR="00895988" w:rsidRPr="00696B5E" w:rsidRDefault="00895988" w:rsidP="007F5197">
      <w:pPr>
        <w:pBdr>
          <w:left w:val="single" w:sz="4" w:space="4" w:color="auto"/>
        </w:pBd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MX" w:eastAsia="es-ES"/>
        </w:rPr>
        <w:t xml:space="preserve">EN: valor absoluto de la exposición neta de posiciones atadas al factor de riesgo de </w:t>
      </w:r>
      <w:r w:rsidR="00DA295A" w:rsidRPr="00CC79FE">
        <w:rPr>
          <w:rFonts w:ascii="Arial" w:eastAsia="Times New Roman" w:hAnsi="Arial" w:cs="Arial"/>
          <w:b/>
          <w:bCs/>
          <w:snapToGrid w:val="0"/>
          <w:sz w:val="18"/>
          <w:szCs w:val="18"/>
          <w:lang w:val="es-MX" w:eastAsia="es-ES"/>
        </w:rPr>
        <w:t>derivados de crédito</w:t>
      </w:r>
      <w:r w:rsidR="00DA295A">
        <w:rPr>
          <w:rFonts w:ascii="Arial" w:eastAsia="Times New Roman" w:hAnsi="Arial" w:cs="Arial"/>
          <w:snapToGrid w:val="0"/>
          <w:sz w:val="18"/>
          <w:szCs w:val="18"/>
          <w:lang w:val="es-MX" w:eastAsia="es-ES"/>
        </w:rPr>
        <w:t>.</w:t>
      </w:r>
    </w:p>
    <w:p w14:paraId="134FA037" w14:textId="48F4D30F" w:rsidR="00895988" w:rsidRPr="00696B5E" w:rsidRDefault="00895988" w:rsidP="007F5197">
      <w:pPr>
        <w:pBdr>
          <w:left w:val="single" w:sz="4" w:space="4" w:color="auto"/>
        </w:pBdr>
        <w:spacing w:after="0" w:line="240" w:lineRule="auto"/>
        <w:jc w:val="both"/>
        <w:rPr>
          <w:rFonts w:ascii="Arial" w:eastAsia="Times New Roman" w:hAnsi="Arial" w:cs="Arial"/>
          <w:snapToGrid w:val="0"/>
          <w:sz w:val="18"/>
          <w:szCs w:val="18"/>
          <w:lang w:val="es-ES_tradnl" w:eastAsia="es-ES"/>
        </w:rPr>
      </w:pPr>
      <w:r w:rsidRPr="00696B5E">
        <w:rPr>
          <w:rFonts w:ascii="Arial" w:eastAsia="Times New Roman" w:hAnsi="Arial" w:cs="Arial"/>
          <w:snapToGrid w:val="0"/>
          <w:sz w:val="18"/>
          <w:szCs w:val="18"/>
          <w:lang w:val="es-MX" w:eastAsia="es-ES"/>
        </w:rPr>
        <w:t xml:space="preserve">σ: Volatilidad asociada al factor de riesgo de </w:t>
      </w:r>
      <w:r w:rsidR="00DA295A" w:rsidRPr="00CC79FE">
        <w:rPr>
          <w:rFonts w:ascii="Arial" w:eastAsia="Times New Roman" w:hAnsi="Arial" w:cs="Arial"/>
          <w:b/>
          <w:bCs/>
          <w:snapToGrid w:val="0"/>
          <w:sz w:val="18"/>
          <w:szCs w:val="18"/>
          <w:lang w:val="es-MX" w:eastAsia="es-ES"/>
        </w:rPr>
        <w:t>derivados de crédito</w:t>
      </w:r>
      <w:r w:rsidR="00DA295A">
        <w:rPr>
          <w:rFonts w:ascii="Arial" w:eastAsia="Times New Roman" w:hAnsi="Arial" w:cs="Arial"/>
          <w:snapToGrid w:val="0"/>
          <w:sz w:val="18"/>
          <w:szCs w:val="18"/>
          <w:lang w:val="es-MX" w:eastAsia="es-ES"/>
        </w:rPr>
        <w:t>.</w:t>
      </w:r>
    </w:p>
    <w:p w14:paraId="178B7A1C" w14:textId="77777777" w:rsidR="00165646" w:rsidRPr="00696B5E" w:rsidRDefault="00165646" w:rsidP="00707FE1">
      <w:pPr>
        <w:spacing w:after="0" w:line="240" w:lineRule="auto"/>
        <w:jc w:val="both"/>
        <w:rPr>
          <w:rFonts w:ascii="Arial" w:eastAsia="Times New Roman" w:hAnsi="Arial" w:cs="Arial"/>
          <w:snapToGrid w:val="0"/>
          <w:sz w:val="18"/>
          <w:szCs w:val="18"/>
          <w:lang w:val="es-ES_tradnl" w:eastAsia="es-ES"/>
        </w:rPr>
      </w:pPr>
    </w:p>
    <w:p w14:paraId="1F3B988B" w14:textId="77777777" w:rsidR="00A8780B" w:rsidRPr="00696B5E" w:rsidRDefault="00A8780B" w:rsidP="000D1247">
      <w:pPr>
        <w:spacing w:after="0" w:line="240" w:lineRule="auto"/>
        <w:jc w:val="both"/>
        <w:rPr>
          <w:rFonts w:ascii="Arial" w:eastAsia="Times New Roman" w:hAnsi="Arial" w:cs="Arial"/>
          <w:snapToGrid w:val="0"/>
          <w:sz w:val="18"/>
          <w:szCs w:val="18"/>
          <w:lang w:val="es-ES_tradnl" w:eastAsia="es-ES"/>
        </w:rPr>
      </w:pPr>
    </w:p>
    <w:p w14:paraId="0C0D902C" w14:textId="05C6A152" w:rsidR="000D1247" w:rsidRPr="00696B5E" w:rsidRDefault="001B396F" w:rsidP="003E1CD3">
      <w:pPr>
        <w:pStyle w:val="Prrafodelista"/>
        <w:numPr>
          <w:ilvl w:val="0"/>
          <w:numId w:val="33"/>
        </w:numPr>
        <w:spacing w:after="0" w:line="240" w:lineRule="auto"/>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Reglas relativas a los reportes de información</w:t>
      </w:r>
    </w:p>
    <w:p w14:paraId="71D81F10" w14:textId="3C1FA8A4" w:rsidR="00165646" w:rsidRPr="00696B5E" w:rsidRDefault="00165646" w:rsidP="000D1247">
      <w:pPr>
        <w:pStyle w:val="Prrafodelista"/>
        <w:spacing w:after="0" w:line="240" w:lineRule="auto"/>
        <w:ind w:left="0"/>
        <w:jc w:val="both"/>
        <w:rPr>
          <w:rFonts w:ascii="Arial" w:eastAsia="Times New Roman" w:hAnsi="Arial" w:cs="Arial"/>
          <w:sz w:val="18"/>
          <w:szCs w:val="18"/>
          <w:lang w:val="es-ES" w:eastAsia="es-ES"/>
        </w:rPr>
      </w:pPr>
    </w:p>
    <w:p w14:paraId="79082978" w14:textId="750D03FB" w:rsidR="00A27820" w:rsidRPr="000D1247" w:rsidRDefault="00165646" w:rsidP="000D1247">
      <w:pPr>
        <w:pStyle w:val="Prrafodelista"/>
        <w:spacing w:after="0" w:line="240" w:lineRule="auto"/>
        <w:ind w:left="0"/>
        <w:jc w:val="both"/>
        <w:rPr>
          <w:rFonts w:ascii="Arial" w:eastAsia="Times New Roman" w:hAnsi="Arial" w:cs="Arial"/>
          <w:b/>
          <w:sz w:val="18"/>
          <w:szCs w:val="18"/>
          <w:lang w:val="es-ES" w:eastAsia="es-ES"/>
        </w:rPr>
      </w:pPr>
      <w:r w:rsidRPr="00696B5E">
        <w:rPr>
          <w:rFonts w:ascii="Arial" w:eastAsia="Times New Roman" w:hAnsi="Arial" w:cs="Arial"/>
          <w:sz w:val="18"/>
          <w:szCs w:val="18"/>
          <w:lang w:val="es-ES_tradnl" w:eastAsia="es-ES"/>
        </w:rPr>
        <w:t xml:space="preserve">Los resultados de la medición de riesgos de mercado deben reportarse a la </w:t>
      </w:r>
      <w:r w:rsidR="001B396F" w:rsidRPr="00696B5E">
        <w:rPr>
          <w:rFonts w:ascii="Arial" w:eastAsia="Times New Roman" w:hAnsi="Arial" w:cs="Arial"/>
          <w:bCs/>
          <w:sz w:val="18"/>
          <w:szCs w:val="18"/>
          <w:lang w:val="es-ES_tradnl" w:eastAsia="es-ES"/>
        </w:rPr>
        <w:t xml:space="preserve">SFC </w:t>
      </w:r>
      <w:r w:rsidRPr="00696B5E">
        <w:rPr>
          <w:rFonts w:ascii="Arial" w:eastAsia="Times New Roman" w:hAnsi="Arial" w:cs="Arial"/>
          <w:sz w:val="18"/>
          <w:szCs w:val="18"/>
          <w:lang w:val="es-ES_tradnl" w:eastAsia="es-ES"/>
        </w:rPr>
        <w:t>con la periodicidad establecida en los formatos previstos para este propósito.</w:t>
      </w:r>
    </w:p>
    <w:sectPr w:rsidR="00A27820" w:rsidRPr="000D1247" w:rsidSect="005977A6">
      <w:headerReference w:type="default" r:id="rId26"/>
      <w:pgSz w:w="12242" w:h="18722" w:code="14"/>
      <w:pgMar w:top="1418" w:right="1701" w:bottom="1418" w:left="1701"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DFED6" w14:textId="77777777" w:rsidR="007B1750" w:rsidRDefault="007B1750" w:rsidP="00165646">
      <w:pPr>
        <w:spacing w:after="0" w:line="240" w:lineRule="auto"/>
      </w:pPr>
      <w:r>
        <w:separator/>
      </w:r>
    </w:p>
  </w:endnote>
  <w:endnote w:type="continuationSeparator" w:id="0">
    <w:p w14:paraId="491027AE" w14:textId="77777777" w:rsidR="007B1750" w:rsidRDefault="007B1750" w:rsidP="00165646">
      <w:pPr>
        <w:spacing w:after="0" w:line="240" w:lineRule="auto"/>
      </w:pPr>
      <w:r>
        <w:continuationSeparator/>
      </w:r>
    </w:p>
  </w:endnote>
  <w:endnote w:type="continuationNotice" w:id="1">
    <w:p w14:paraId="216A8CF3" w14:textId="77777777" w:rsidR="007B1750" w:rsidRDefault="007B17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468B5" w14:textId="77777777" w:rsidR="00FE2A5D" w:rsidRDefault="00FE2A5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A851" w14:textId="77777777" w:rsidR="00A7799B" w:rsidRDefault="00A7799B" w:rsidP="00F336AA">
    <w:pPr>
      <w:spacing w:line="240" w:lineRule="auto"/>
      <w:ind w:right="-91"/>
      <w:jc w:val="both"/>
      <w:outlineLvl w:val="0"/>
      <w:rPr>
        <w:rStyle w:val="Nmerodepgina"/>
        <w:rFonts w:ascii="Arial" w:hAnsi="Arial" w:cs="Arial"/>
        <w:b/>
        <w:bCs/>
        <w:sz w:val="18"/>
        <w:szCs w:val="18"/>
      </w:rPr>
    </w:pPr>
  </w:p>
  <w:p w14:paraId="7C80B4A6" w14:textId="49BD5916" w:rsidR="00A7799B" w:rsidRPr="00FC4A84" w:rsidRDefault="00A7799B" w:rsidP="00F336AA">
    <w:pPr>
      <w:pStyle w:val="Piedepgina"/>
      <w:tabs>
        <w:tab w:val="right" w:pos="8789"/>
      </w:tabs>
      <w:ind w:right="-91"/>
      <w:rPr>
        <w:rFonts w:ascii="Arial" w:hAnsi="Arial" w:cs="Arial"/>
        <w:b/>
        <w:sz w:val="18"/>
        <w:szCs w:val="18"/>
        <w:lang w:val="pt-BR"/>
      </w:rPr>
    </w:pPr>
    <w:r>
      <w:rPr>
        <w:rStyle w:val="Nmerodepgina"/>
        <w:rFonts w:ascii="Arial" w:hAnsi="Arial" w:cs="Arial"/>
        <w:b/>
        <w:bCs/>
        <w:sz w:val="18"/>
        <w:szCs w:val="18"/>
        <w:lang w:val="pt-BR"/>
      </w:rPr>
      <w:t>Circular Externa</w:t>
    </w:r>
    <w:r w:rsidR="00217EE2">
      <w:rPr>
        <w:rStyle w:val="Nmerodepgina"/>
        <w:rFonts w:ascii="Arial" w:hAnsi="Arial" w:cs="Arial"/>
        <w:b/>
        <w:bCs/>
        <w:sz w:val="18"/>
        <w:szCs w:val="18"/>
        <w:lang w:val="pt-BR"/>
      </w:rPr>
      <w:t xml:space="preserve"> </w:t>
    </w:r>
    <w:proofErr w:type="spellStart"/>
    <w:r w:rsidR="00217EE2">
      <w:rPr>
        <w:rStyle w:val="Nmerodepgina"/>
        <w:rFonts w:ascii="Arial" w:hAnsi="Arial" w:cs="Arial"/>
        <w:b/>
        <w:bCs/>
        <w:sz w:val="18"/>
        <w:szCs w:val="18"/>
        <w:lang w:val="pt-BR"/>
      </w:rPr>
      <w:t>xxx</w:t>
    </w:r>
    <w:proofErr w:type="spellEnd"/>
    <w:r>
      <w:rPr>
        <w:rStyle w:val="Nmerodepgina"/>
        <w:rFonts w:ascii="Arial" w:hAnsi="Arial" w:cs="Arial"/>
        <w:b/>
        <w:bCs/>
        <w:sz w:val="18"/>
        <w:szCs w:val="18"/>
        <w:lang w:val="pt-BR"/>
      </w:rPr>
      <w:t xml:space="preserve"> de 202</w:t>
    </w:r>
    <w:r w:rsidR="00FE2A5D">
      <w:rPr>
        <w:rStyle w:val="Nmerodepgina"/>
        <w:rFonts w:ascii="Arial" w:hAnsi="Arial" w:cs="Arial"/>
        <w:b/>
        <w:bCs/>
        <w:sz w:val="18"/>
        <w:szCs w:val="18"/>
        <w:lang w:val="pt-BR"/>
      </w:rPr>
      <w:t>3</w:t>
    </w:r>
    <w:r w:rsidRPr="00FC4A84">
      <w:rPr>
        <w:rStyle w:val="Nmerodepgina"/>
        <w:rFonts w:ascii="Arial" w:hAnsi="Arial" w:cs="Arial"/>
        <w:b/>
        <w:bCs/>
        <w:sz w:val="18"/>
        <w:szCs w:val="18"/>
        <w:lang w:val="pt-BR"/>
      </w:rPr>
      <w:tab/>
    </w:r>
    <w:r w:rsidRPr="00FC4A84">
      <w:rPr>
        <w:rStyle w:val="Nmerodepgina"/>
        <w:rFonts w:ascii="Arial" w:hAnsi="Arial" w:cs="Arial"/>
        <w:b/>
        <w:sz w:val="18"/>
        <w:szCs w:val="18"/>
        <w:lang w:val="pt-BR"/>
      </w:rPr>
      <w:t xml:space="preserve"> </w:t>
    </w:r>
    <w:r>
      <w:rPr>
        <w:rStyle w:val="Nmerodepgina"/>
        <w:rFonts w:ascii="Arial" w:hAnsi="Arial" w:cs="Arial"/>
        <w:b/>
        <w:bCs/>
        <w:sz w:val="18"/>
        <w:szCs w:val="18"/>
        <w:lang w:val="pt-BR"/>
      </w:rPr>
      <w:tab/>
    </w:r>
    <w:proofErr w:type="spellStart"/>
    <w:r w:rsidR="00FE2A5D">
      <w:rPr>
        <w:rStyle w:val="Nmerodepgina"/>
        <w:rFonts w:ascii="Arial" w:hAnsi="Arial" w:cs="Arial"/>
        <w:b/>
        <w:bCs/>
        <w:sz w:val="18"/>
        <w:szCs w:val="18"/>
        <w:lang w:val="pt-BR"/>
      </w:rPr>
      <w:t>Enero</w:t>
    </w:r>
    <w:proofErr w:type="spellEnd"/>
    <w:r w:rsidR="00AD2E6F">
      <w:rPr>
        <w:rStyle w:val="Nmerodepgina"/>
        <w:rFonts w:ascii="Arial" w:hAnsi="Arial" w:cs="Arial"/>
        <w:b/>
        <w:bCs/>
        <w:sz w:val="18"/>
        <w:szCs w:val="18"/>
        <w:lang w:val="pt-BR"/>
      </w:rPr>
      <w:t xml:space="preserve"> </w:t>
    </w:r>
    <w:r>
      <w:rPr>
        <w:rStyle w:val="Nmerodepgina"/>
        <w:rFonts w:ascii="Arial" w:hAnsi="Arial" w:cs="Arial"/>
        <w:b/>
        <w:bCs/>
        <w:sz w:val="18"/>
        <w:szCs w:val="18"/>
        <w:lang w:val="pt-BR"/>
      </w:rPr>
      <w:t>de 202</w:t>
    </w:r>
    <w:r w:rsidR="00FE2A5D">
      <w:rPr>
        <w:rStyle w:val="Nmerodepgina"/>
        <w:rFonts w:ascii="Arial" w:hAnsi="Arial" w:cs="Arial"/>
        <w:b/>
        <w:bCs/>
        <w:sz w:val="18"/>
        <w:szCs w:val="18"/>
        <w:lang w:val="pt-BR"/>
      </w:rPr>
      <w:t>3</w:t>
    </w:r>
  </w:p>
  <w:p w14:paraId="4469F9E6" w14:textId="74A4E5C6" w:rsidR="00A7799B" w:rsidRPr="00F336AA" w:rsidRDefault="00A7799B" w:rsidP="00F336AA">
    <w:pPr>
      <w:pStyle w:val="Piedepgina"/>
      <w:rPr>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1C357" w14:textId="77777777" w:rsidR="00FE2A5D" w:rsidRDefault="00FE2A5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8672A" w14:textId="77777777" w:rsidR="007B1750" w:rsidRDefault="007B1750" w:rsidP="00165646">
      <w:pPr>
        <w:spacing w:after="0" w:line="240" w:lineRule="auto"/>
      </w:pPr>
      <w:r>
        <w:separator/>
      </w:r>
    </w:p>
  </w:footnote>
  <w:footnote w:type="continuationSeparator" w:id="0">
    <w:p w14:paraId="15F80B2D" w14:textId="77777777" w:rsidR="007B1750" w:rsidRDefault="007B1750" w:rsidP="00165646">
      <w:pPr>
        <w:spacing w:after="0" w:line="240" w:lineRule="auto"/>
      </w:pPr>
      <w:r>
        <w:continuationSeparator/>
      </w:r>
    </w:p>
  </w:footnote>
  <w:footnote w:type="continuationNotice" w:id="1">
    <w:p w14:paraId="6A29D194" w14:textId="77777777" w:rsidR="007B1750" w:rsidRDefault="007B17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E723B" w14:textId="77777777" w:rsidR="00FE2A5D" w:rsidRDefault="00FE2A5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B29FB" w14:textId="77777777" w:rsidR="00A7799B" w:rsidRPr="00C932B5" w:rsidRDefault="00A7799B" w:rsidP="00361781">
    <w:pPr>
      <w:pStyle w:val="Ttulo"/>
      <w:rPr>
        <w:rFonts w:ascii="Arial" w:hAnsi="Arial" w:cs="Arial"/>
        <w:b/>
        <w:sz w:val="24"/>
        <w:szCs w:val="24"/>
      </w:rPr>
    </w:pPr>
    <w:r w:rsidRPr="00C932B5">
      <w:rPr>
        <w:rFonts w:ascii="Arial" w:hAnsi="Arial" w:cs="Arial"/>
        <w:b/>
        <w:sz w:val="24"/>
        <w:szCs w:val="24"/>
      </w:rPr>
      <w:t>SUPERINTENDENCIA FINANCIERA DE COLOMBIA</w:t>
    </w:r>
  </w:p>
  <w:p w14:paraId="4BA65116" w14:textId="77777777" w:rsidR="00A7799B" w:rsidRPr="00C932B5" w:rsidRDefault="00A7799B" w:rsidP="00361781">
    <w:pPr>
      <w:pStyle w:val="Encabezado"/>
      <w:ind w:right="-21"/>
      <w:rPr>
        <w:rFonts w:ascii="Arial" w:hAnsi="Arial" w:cs="Arial"/>
        <w:b/>
        <w:sz w:val="18"/>
        <w:szCs w:val="18"/>
      </w:rPr>
    </w:pPr>
  </w:p>
  <w:p w14:paraId="46818DBC" w14:textId="2AEA5690" w:rsidR="00A7799B" w:rsidRPr="00C932B5" w:rsidRDefault="00A7799B" w:rsidP="00361781">
    <w:pPr>
      <w:pStyle w:val="Encabezado"/>
      <w:ind w:right="-21"/>
      <w:rPr>
        <w:rFonts w:ascii="Arial" w:hAnsi="Arial" w:cs="Arial"/>
        <w:b/>
        <w:sz w:val="18"/>
        <w:szCs w:val="18"/>
      </w:rPr>
    </w:pPr>
    <w:r>
      <w:rPr>
        <w:rFonts w:ascii="Arial" w:hAnsi="Arial" w:cs="Arial"/>
        <w:b/>
        <w:sz w:val="18"/>
        <w:szCs w:val="18"/>
      </w:rPr>
      <w:t>CAPÍTULO XX</w:t>
    </w:r>
    <w:r w:rsidRPr="00C932B5">
      <w:rPr>
        <w:rFonts w:ascii="Arial" w:hAnsi="Arial" w:cs="Arial"/>
        <w:b/>
        <w:sz w:val="18"/>
        <w:szCs w:val="18"/>
      </w:rPr>
      <w:t>X</w:t>
    </w:r>
    <w:r w:rsidR="00CA73F5">
      <w:rPr>
        <w:rFonts w:ascii="Arial" w:hAnsi="Arial" w:cs="Arial"/>
        <w:b/>
        <w:sz w:val="18"/>
        <w:szCs w:val="18"/>
      </w:rPr>
      <w:t>I</w:t>
    </w:r>
    <w:r w:rsidRPr="00C932B5">
      <w:rPr>
        <w:rFonts w:ascii="Arial" w:hAnsi="Arial" w:cs="Arial"/>
        <w:b/>
        <w:sz w:val="18"/>
        <w:szCs w:val="18"/>
      </w:rPr>
      <w:t xml:space="preserve"> SISTEMA INTEGRAL DE ADMINISTRACIÓN DE RIESGOS</w:t>
    </w:r>
    <w:r w:rsidR="00F03989">
      <w:rPr>
        <w:rFonts w:ascii="Arial" w:hAnsi="Arial" w:cs="Arial"/>
        <w:b/>
        <w:sz w:val="18"/>
        <w:szCs w:val="18"/>
      </w:rPr>
      <w:t xml:space="preserve"> (SIAR)</w:t>
    </w:r>
  </w:p>
  <w:p w14:paraId="73274FD8" w14:textId="77777777" w:rsidR="00A7799B" w:rsidRPr="00C932B5" w:rsidRDefault="00A7799B" w:rsidP="00361781">
    <w:pPr>
      <w:pStyle w:val="Encabezado"/>
      <w:rPr>
        <w:rFonts w:ascii="Arial" w:hAnsi="Arial" w:cs="Arial"/>
        <w:b/>
        <w:sz w:val="18"/>
        <w:szCs w:val="18"/>
      </w:rPr>
    </w:pPr>
    <w:r w:rsidRPr="00C932B5">
      <w:rPr>
        <w:rFonts w:ascii="Arial" w:hAnsi="Arial" w:cs="Arial"/>
        <w:b/>
        <w:sz w:val="18"/>
        <w:szCs w:val="18"/>
      </w:rPr>
      <w:t xml:space="preserve">Página </w:t>
    </w:r>
    <w:r w:rsidRPr="00C932B5">
      <w:rPr>
        <w:rFonts w:ascii="Arial" w:hAnsi="Arial" w:cs="Arial"/>
        <w:b/>
        <w:sz w:val="18"/>
        <w:szCs w:val="18"/>
      </w:rPr>
      <w:fldChar w:fldCharType="begin"/>
    </w:r>
    <w:r w:rsidRPr="00C932B5">
      <w:rPr>
        <w:rFonts w:ascii="Arial" w:hAnsi="Arial" w:cs="Arial"/>
        <w:b/>
        <w:sz w:val="18"/>
        <w:szCs w:val="18"/>
      </w:rPr>
      <w:instrText>PAGE   \* MERGEFORMAT</w:instrText>
    </w:r>
    <w:r w:rsidRPr="00C932B5">
      <w:rPr>
        <w:rFonts w:ascii="Arial" w:hAnsi="Arial" w:cs="Arial"/>
        <w:b/>
        <w:sz w:val="18"/>
        <w:szCs w:val="18"/>
      </w:rPr>
      <w:fldChar w:fldCharType="separate"/>
    </w:r>
    <w:r>
      <w:rPr>
        <w:rFonts w:ascii="Arial" w:hAnsi="Arial" w:cs="Arial"/>
        <w:b/>
        <w:noProof/>
        <w:sz w:val="18"/>
        <w:szCs w:val="18"/>
      </w:rPr>
      <w:t>1</w:t>
    </w:r>
    <w:r w:rsidRPr="00C932B5">
      <w:rPr>
        <w:rFonts w:ascii="Arial" w:hAnsi="Arial" w:cs="Arial"/>
        <w:b/>
        <w:sz w:val="18"/>
        <w:szCs w:val="18"/>
      </w:rPr>
      <w:fldChar w:fldCharType="end"/>
    </w:r>
  </w:p>
  <w:p w14:paraId="40D96AD9" w14:textId="77777777" w:rsidR="00A7799B" w:rsidRDefault="00A7799B" w:rsidP="002972F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8758F" w14:textId="77777777" w:rsidR="00A7799B" w:rsidRPr="00CA6425" w:rsidRDefault="00A7799B" w:rsidP="00A6696A">
    <w:pPr>
      <w:pStyle w:val="Encabezado"/>
      <w:jc w:val="center"/>
      <w:rPr>
        <w:b/>
        <w:sz w:val="24"/>
        <w:szCs w:val="24"/>
      </w:rPr>
    </w:pPr>
    <w:r>
      <w:rPr>
        <w:b/>
        <w:sz w:val="24"/>
        <w:szCs w:val="24"/>
      </w:rPr>
      <w:t>SUPERINTENDENCIA FINANCIERA DE COLOMBIA</w:t>
    </w:r>
  </w:p>
  <w:p w14:paraId="5142D659" w14:textId="77777777" w:rsidR="00A7799B" w:rsidRDefault="00A7799B" w:rsidP="00A6696A">
    <w:pPr>
      <w:pStyle w:val="Piedepgina"/>
      <w:ind w:left="855" w:hanging="855"/>
      <w:rPr>
        <w:b/>
        <w:bCs/>
        <w:sz w:val="18"/>
        <w:szCs w:val="18"/>
        <w:lang w:val="es-MX"/>
      </w:rPr>
    </w:pPr>
  </w:p>
  <w:p w14:paraId="0C2607A6" w14:textId="77777777" w:rsidR="00A7799B" w:rsidRPr="00717209" w:rsidRDefault="00A7799B" w:rsidP="00A6696A">
    <w:pPr>
      <w:pStyle w:val="Encabezado"/>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8174" w14:textId="77777777" w:rsidR="00B9645A" w:rsidRPr="00C932B5" w:rsidRDefault="00B9645A" w:rsidP="00361781">
    <w:pPr>
      <w:pStyle w:val="Ttulo"/>
      <w:rPr>
        <w:rFonts w:ascii="Arial" w:hAnsi="Arial" w:cs="Arial"/>
        <w:b/>
        <w:sz w:val="24"/>
        <w:szCs w:val="24"/>
      </w:rPr>
    </w:pPr>
    <w:r w:rsidRPr="00C932B5">
      <w:rPr>
        <w:rFonts w:ascii="Arial" w:hAnsi="Arial" w:cs="Arial"/>
        <w:b/>
        <w:sz w:val="24"/>
        <w:szCs w:val="24"/>
      </w:rPr>
      <w:t>SUPERINTENDENCIA FINANCIERA DE COLOMBIA</w:t>
    </w:r>
  </w:p>
  <w:p w14:paraId="2A24ED39" w14:textId="77777777" w:rsidR="00B9645A" w:rsidRPr="00C932B5" w:rsidRDefault="00B9645A" w:rsidP="00361781">
    <w:pPr>
      <w:pStyle w:val="Encabezado"/>
      <w:ind w:right="-21"/>
      <w:rPr>
        <w:rFonts w:ascii="Arial" w:hAnsi="Arial" w:cs="Arial"/>
        <w:b/>
        <w:sz w:val="18"/>
        <w:szCs w:val="18"/>
      </w:rPr>
    </w:pPr>
  </w:p>
  <w:p w14:paraId="65AD7261" w14:textId="77777777" w:rsidR="00B9645A" w:rsidRPr="00C932B5" w:rsidRDefault="00B9645A" w:rsidP="00361781">
    <w:pPr>
      <w:pStyle w:val="Encabezado"/>
      <w:ind w:right="-21"/>
      <w:rPr>
        <w:rFonts w:ascii="Arial" w:hAnsi="Arial" w:cs="Arial"/>
        <w:b/>
        <w:sz w:val="18"/>
        <w:szCs w:val="18"/>
      </w:rPr>
    </w:pPr>
    <w:r>
      <w:rPr>
        <w:rFonts w:ascii="Arial" w:hAnsi="Arial" w:cs="Arial"/>
        <w:b/>
        <w:sz w:val="18"/>
        <w:szCs w:val="18"/>
      </w:rPr>
      <w:t>CAPÍTULO XX</w:t>
    </w:r>
    <w:r w:rsidRPr="00C932B5">
      <w:rPr>
        <w:rFonts w:ascii="Arial" w:hAnsi="Arial" w:cs="Arial"/>
        <w:b/>
        <w:sz w:val="18"/>
        <w:szCs w:val="18"/>
      </w:rPr>
      <w:t>X</w:t>
    </w:r>
    <w:r>
      <w:rPr>
        <w:rFonts w:ascii="Arial" w:hAnsi="Arial" w:cs="Arial"/>
        <w:b/>
        <w:sz w:val="18"/>
        <w:szCs w:val="18"/>
      </w:rPr>
      <w:t>I</w:t>
    </w:r>
    <w:r w:rsidRPr="00C932B5">
      <w:rPr>
        <w:rFonts w:ascii="Arial" w:hAnsi="Arial" w:cs="Arial"/>
        <w:b/>
        <w:sz w:val="18"/>
        <w:szCs w:val="18"/>
      </w:rPr>
      <w:t xml:space="preserve"> SISTEMA INTEGRAL DE ADMINISTRACIÓN DE RIESGOS</w:t>
    </w:r>
    <w:r>
      <w:rPr>
        <w:rFonts w:ascii="Arial" w:hAnsi="Arial" w:cs="Arial"/>
        <w:b/>
        <w:sz w:val="18"/>
        <w:szCs w:val="18"/>
      </w:rPr>
      <w:t xml:space="preserve"> (SIAR)</w:t>
    </w:r>
  </w:p>
  <w:p w14:paraId="4A09E8CD" w14:textId="2E5CC271" w:rsidR="00B9645A" w:rsidRPr="00C932B5" w:rsidRDefault="00B9645A" w:rsidP="00361781">
    <w:pPr>
      <w:pStyle w:val="Encabezado"/>
      <w:rPr>
        <w:rFonts w:ascii="Arial" w:hAnsi="Arial" w:cs="Arial"/>
        <w:b/>
        <w:sz w:val="18"/>
        <w:szCs w:val="18"/>
      </w:rPr>
    </w:pPr>
    <w:r w:rsidRPr="00C932B5">
      <w:rPr>
        <w:rFonts w:ascii="Arial" w:hAnsi="Arial" w:cs="Arial"/>
        <w:b/>
        <w:sz w:val="18"/>
        <w:szCs w:val="18"/>
      </w:rPr>
      <w:t xml:space="preserve">Página </w:t>
    </w:r>
    <w:r>
      <w:rPr>
        <w:rFonts w:ascii="Arial" w:hAnsi="Arial" w:cs="Arial"/>
        <w:b/>
        <w:sz w:val="18"/>
        <w:szCs w:val="18"/>
      </w:rPr>
      <w:t>3-1</w:t>
    </w:r>
  </w:p>
  <w:p w14:paraId="7934DA15" w14:textId="77777777" w:rsidR="00B9645A" w:rsidRPr="001C1270" w:rsidRDefault="00B9645A" w:rsidP="001C1270">
    <w:pPr>
      <w:pStyle w:val="Encabezado"/>
      <w:rPr>
        <w:rFonts w:ascii="Arial" w:hAnsi="Arial" w:cs="Arial"/>
      </w:rPr>
    </w:pPr>
  </w:p>
  <w:p w14:paraId="7B9F611E" w14:textId="77777777" w:rsidR="00B9645A" w:rsidRDefault="00B9645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E3037" w14:textId="77777777" w:rsidR="00B9645A" w:rsidRPr="00C932B5" w:rsidRDefault="00B9645A" w:rsidP="00361781">
    <w:pPr>
      <w:pStyle w:val="Ttulo"/>
      <w:rPr>
        <w:rFonts w:ascii="Arial" w:hAnsi="Arial" w:cs="Arial"/>
        <w:b/>
        <w:sz w:val="24"/>
        <w:szCs w:val="24"/>
      </w:rPr>
    </w:pPr>
    <w:r w:rsidRPr="00C932B5">
      <w:rPr>
        <w:rFonts w:ascii="Arial" w:hAnsi="Arial" w:cs="Arial"/>
        <w:b/>
        <w:sz w:val="24"/>
        <w:szCs w:val="24"/>
      </w:rPr>
      <w:t>SUPERINTENDENCIA FINANCIERA DE COLOMBIA</w:t>
    </w:r>
  </w:p>
  <w:p w14:paraId="341C7ED4" w14:textId="77777777" w:rsidR="00B9645A" w:rsidRPr="00C932B5" w:rsidRDefault="00B9645A" w:rsidP="00361781">
    <w:pPr>
      <w:pStyle w:val="Encabezado"/>
      <w:ind w:right="-21"/>
      <w:rPr>
        <w:rFonts w:ascii="Arial" w:hAnsi="Arial" w:cs="Arial"/>
        <w:b/>
        <w:sz w:val="18"/>
        <w:szCs w:val="18"/>
      </w:rPr>
    </w:pPr>
  </w:p>
  <w:p w14:paraId="443A647B" w14:textId="77777777" w:rsidR="00B9645A" w:rsidRPr="00C932B5" w:rsidRDefault="00B9645A" w:rsidP="00361781">
    <w:pPr>
      <w:pStyle w:val="Encabezado"/>
      <w:ind w:right="-21"/>
      <w:rPr>
        <w:rFonts w:ascii="Arial" w:hAnsi="Arial" w:cs="Arial"/>
        <w:b/>
        <w:sz w:val="18"/>
        <w:szCs w:val="18"/>
      </w:rPr>
    </w:pPr>
    <w:r>
      <w:rPr>
        <w:rFonts w:ascii="Arial" w:hAnsi="Arial" w:cs="Arial"/>
        <w:b/>
        <w:sz w:val="18"/>
        <w:szCs w:val="18"/>
      </w:rPr>
      <w:t>CAPÍTULO XX</w:t>
    </w:r>
    <w:r w:rsidRPr="00C932B5">
      <w:rPr>
        <w:rFonts w:ascii="Arial" w:hAnsi="Arial" w:cs="Arial"/>
        <w:b/>
        <w:sz w:val="18"/>
        <w:szCs w:val="18"/>
      </w:rPr>
      <w:t>X</w:t>
    </w:r>
    <w:r>
      <w:rPr>
        <w:rFonts w:ascii="Arial" w:hAnsi="Arial" w:cs="Arial"/>
        <w:b/>
        <w:sz w:val="18"/>
        <w:szCs w:val="18"/>
      </w:rPr>
      <w:t>I</w:t>
    </w:r>
    <w:r w:rsidRPr="00C932B5">
      <w:rPr>
        <w:rFonts w:ascii="Arial" w:hAnsi="Arial" w:cs="Arial"/>
        <w:b/>
        <w:sz w:val="18"/>
        <w:szCs w:val="18"/>
      </w:rPr>
      <w:t xml:space="preserve"> SISTEMA INTEGRAL DE ADMINISTRACIÓN DE RIESGOS</w:t>
    </w:r>
    <w:r>
      <w:rPr>
        <w:rFonts w:ascii="Arial" w:hAnsi="Arial" w:cs="Arial"/>
        <w:b/>
        <w:sz w:val="18"/>
        <w:szCs w:val="18"/>
      </w:rPr>
      <w:t xml:space="preserve"> (SIAR)</w:t>
    </w:r>
  </w:p>
  <w:p w14:paraId="0F2D97E1" w14:textId="4A5B7F11" w:rsidR="00B9645A" w:rsidRPr="00C932B5" w:rsidRDefault="00B9645A" w:rsidP="00361781">
    <w:pPr>
      <w:pStyle w:val="Encabezado"/>
      <w:rPr>
        <w:rFonts w:ascii="Arial" w:hAnsi="Arial" w:cs="Arial"/>
        <w:b/>
        <w:sz w:val="18"/>
        <w:szCs w:val="18"/>
      </w:rPr>
    </w:pPr>
    <w:r w:rsidRPr="00C932B5">
      <w:rPr>
        <w:rFonts w:ascii="Arial" w:hAnsi="Arial" w:cs="Arial"/>
        <w:b/>
        <w:sz w:val="18"/>
        <w:szCs w:val="18"/>
      </w:rPr>
      <w:t xml:space="preserve">Página </w:t>
    </w:r>
    <w:r w:rsidR="00082EB2">
      <w:rPr>
        <w:rFonts w:ascii="Arial" w:hAnsi="Arial" w:cs="Arial"/>
        <w:b/>
        <w:sz w:val="18"/>
        <w:szCs w:val="18"/>
      </w:rPr>
      <w:t>10</w:t>
    </w:r>
  </w:p>
  <w:p w14:paraId="63285A5E" w14:textId="77777777" w:rsidR="00B9645A" w:rsidRPr="001C1270" w:rsidRDefault="00B9645A" w:rsidP="001C1270">
    <w:pPr>
      <w:pStyle w:val="Encabezado"/>
      <w:rPr>
        <w:rFonts w:ascii="Arial" w:hAnsi="Arial" w:cs="Arial"/>
      </w:rPr>
    </w:pPr>
  </w:p>
  <w:p w14:paraId="1E1FBADE" w14:textId="77777777" w:rsidR="00B9645A" w:rsidRDefault="00B9645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D8B4D" w14:textId="77777777" w:rsidR="00082EB2" w:rsidRPr="00C932B5" w:rsidRDefault="00082EB2" w:rsidP="00361781">
    <w:pPr>
      <w:pStyle w:val="Ttulo"/>
      <w:rPr>
        <w:rFonts w:ascii="Arial" w:hAnsi="Arial" w:cs="Arial"/>
        <w:b/>
        <w:sz w:val="24"/>
        <w:szCs w:val="24"/>
      </w:rPr>
    </w:pPr>
    <w:r w:rsidRPr="00C932B5">
      <w:rPr>
        <w:rFonts w:ascii="Arial" w:hAnsi="Arial" w:cs="Arial"/>
        <w:b/>
        <w:sz w:val="24"/>
        <w:szCs w:val="24"/>
      </w:rPr>
      <w:t>SUPERINTENDENCIA FINANCIERA DE COLOMBIA</w:t>
    </w:r>
  </w:p>
  <w:p w14:paraId="2065BD5A" w14:textId="77777777" w:rsidR="00082EB2" w:rsidRPr="00C932B5" w:rsidRDefault="00082EB2" w:rsidP="00361781">
    <w:pPr>
      <w:pStyle w:val="Encabezado"/>
      <w:ind w:right="-21"/>
      <w:rPr>
        <w:rFonts w:ascii="Arial" w:hAnsi="Arial" w:cs="Arial"/>
        <w:b/>
        <w:sz w:val="18"/>
        <w:szCs w:val="18"/>
      </w:rPr>
    </w:pPr>
  </w:p>
  <w:p w14:paraId="7A1DD7E5" w14:textId="77777777" w:rsidR="00082EB2" w:rsidRPr="00C932B5" w:rsidRDefault="00082EB2" w:rsidP="00361781">
    <w:pPr>
      <w:pStyle w:val="Encabezado"/>
      <w:ind w:right="-21"/>
      <w:rPr>
        <w:rFonts w:ascii="Arial" w:hAnsi="Arial" w:cs="Arial"/>
        <w:b/>
        <w:sz w:val="18"/>
        <w:szCs w:val="18"/>
      </w:rPr>
    </w:pPr>
    <w:r>
      <w:rPr>
        <w:rFonts w:ascii="Arial" w:hAnsi="Arial" w:cs="Arial"/>
        <w:b/>
        <w:sz w:val="18"/>
        <w:szCs w:val="18"/>
      </w:rPr>
      <w:t>CAPÍTULO XX</w:t>
    </w:r>
    <w:r w:rsidRPr="00C932B5">
      <w:rPr>
        <w:rFonts w:ascii="Arial" w:hAnsi="Arial" w:cs="Arial"/>
        <w:b/>
        <w:sz w:val="18"/>
        <w:szCs w:val="18"/>
      </w:rPr>
      <w:t>X</w:t>
    </w:r>
    <w:r>
      <w:rPr>
        <w:rFonts w:ascii="Arial" w:hAnsi="Arial" w:cs="Arial"/>
        <w:b/>
        <w:sz w:val="18"/>
        <w:szCs w:val="18"/>
      </w:rPr>
      <w:t>I</w:t>
    </w:r>
    <w:r w:rsidRPr="00C932B5">
      <w:rPr>
        <w:rFonts w:ascii="Arial" w:hAnsi="Arial" w:cs="Arial"/>
        <w:b/>
        <w:sz w:val="18"/>
        <w:szCs w:val="18"/>
      </w:rPr>
      <w:t xml:space="preserve"> SISTEMA INTEGRAL DE ADMINISTRACIÓN DE RIESGOS</w:t>
    </w:r>
    <w:r>
      <w:rPr>
        <w:rFonts w:ascii="Arial" w:hAnsi="Arial" w:cs="Arial"/>
        <w:b/>
        <w:sz w:val="18"/>
        <w:szCs w:val="18"/>
      </w:rPr>
      <w:t xml:space="preserve"> (SIAR)</w:t>
    </w:r>
  </w:p>
  <w:p w14:paraId="65F060DA" w14:textId="1D64E8DA" w:rsidR="00082EB2" w:rsidRPr="00C932B5" w:rsidRDefault="00082EB2" w:rsidP="00361781">
    <w:pPr>
      <w:pStyle w:val="Encabezado"/>
      <w:rPr>
        <w:rFonts w:ascii="Arial" w:hAnsi="Arial" w:cs="Arial"/>
        <w:b/>
        <w:sz w:val="18"/>
        <w:szCs w:val="18"/>
      </w:rPr>
    </w:pPr>
    <w:r w:rsidRPr="00C932B5">
      <w:rPr>
        <w:rFonts w:ascii="Arial" w:hAnsi="Arial" w:cs="Arial"/>
        <w:b/>
        <w:sz w:val="18"/>
        <w:szCs w:val="18"/>
      </w:rPr>
      <w:t xml:space="preserve">Página </w:t>
    </w:r>
    <w:r>
      <w:rPr>
        <w:rFonts w:ascii="Arial" w:hAnsi="Arial" w:cs="Arial"/>
        <w:b/>
        <w:sz w:val="18"/>
        <w:szCs w:val="18"/>
      </w:rPr>
      <w:t>1</w:t>
    </w:r>
    <w:r w:rsidR="00782205">
      <w:rPr>
        <w:rFonts w:ascii="Arial" w:hAnsi="Arial" w:cs="Arial"/>
        <w:b/>
        <w:sz w:val="18"/>
        <w:szCs w:val="18"/>
      </w:rPr>
      <w:t>2</w:t>
    </w:r>
  </w:p>
  <w:p w14:paraId="51C0845B" w14:textId="77777777" w:rsidR="00082EB2" w:rsidRPr="001C1270" w:rsidRDefault="00082EB2" w:rsidP="001C1270">
    <w:pPr>
      <w:pStyle w:val="Encabezado"/>
      <w:rPr>
        <w:rFonts w:ascii="Arial" w:hAnsi="Arial" w:cs="Arial"/>
      </w:rPr>
    </w:pPr>
  </w:p>
  <w:p w14:paraId="61A265E2" w14:textId="77777777" w:rsidR="00082EB2" w:rsidRDefault="00082E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1357"/>
    <w:multiLevelType w:val="multilevel"/>
    <w:tmpl w:val="6DE0B4F2"/>
    <w:lvl w:ilvl="0">
      <w:start w:val="2"/>
      <w:numFmt w:val="decimal"/>
      <w:lvlText w:val="%1"/>
      <w:lvlJc w:val="left"/>
      <w:pPr>
        <w:ind w:left="405" w:hanging="405"/>
      </w:pPr>
      <w:rPr>
        <w:rFonts w:eastAsiaTheme="minorHAnsi" w:hint="default"/>
      </w:rPr>
    </w:lvl>
    <w:lvl w:ilvl="1">
      <w:start w:val="1"/>
      <w:numFmt w:val="decimal"/>
      <w:lvlText w:val="%1.%2"/>
      <w:lvlJc w:val="left"/>
      <w:pPr>
        <w:ind w:left="405" w:hanging="405"/>
      </w:pPr>
      <w:rPr>
        <w:rFonts w:eastAsiaTheme="minorHAnsi" w:hint="default"/>
      </w:rPr>
    </w:lvl>
    <w:lvl w:ilvl="2">
      <w:start w:val="2"/>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15:restartNumberingAfterBreak="0">
    <w:nsid w:val="007E0561"/>
    <w:multiLevelType w:val="hybridMultilevel"/>
    <w:tmpl w:val="D5DE1E96"/>
    <w:lvl w:ilvl="0" w:tplc="05C6B8C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1067BAE"/>
    <w:multiLevelType w:val="hybridMultilevel"/>
    <w:tmpl w:val="38626448"/>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23604F2"/>
    <w:multiLevelType w:val="hybridMultilevel"/>
    <w:tmpl w:val="3356C3C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31A18A8"/>
    <w:multiLevelType w:val="hybridMultilevel"/>
    <w:tmpl w:val="D0AE314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3AF0384"/>
    <w:multiLevelType w:val="multilevel"/>
    <w:tmpl w:val="B9580A5C"/>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color w:val="FFFFFF" w:themeColor="background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42C4209"/>
    <w:multiLevelType w:val="hybridMultilevel"/>
    <w:tmpl w:val="671625A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6477357"/>
    <w:multiLevelType w:val="hybridMultilevel"/>
    <w:tmpl w:val="656C4346"/>
    <w:lvl w:ilvl="0" w:tplc="D50CE4CA">
      <w:start w:val="1"/>
      <w:numFmt w:val="lowerRoman"/>
      <w:lvlText w:val="%1."/>
      <w:lvlJc w:val="left"/>
      <w:pPr>
        <w:tabs>
          <w:tab w:val="num" w:pos="1080"/>
        </w:tabs>
        <w:ind w:left="1080" w:hanging="720"/>
      </w:pPr>
      <w:rPr>
        <w:rFonts w:cs="Times New Roman" w:hint="default"/>
        <w:b w:val="0"/>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07BF49AD"/>
    <w:multiLevelType w:val="hybridMultilevel"/>
    <w:tmpl w:val="071E5C88"/>
    <w:lvl w:ilvl="0" w:tplc="240A001B">
      <w:start w:val="1"/>
      <w:numFmt w:val="lowerRoman"/>
      <w:lvlText w:val="%1."/>
      <w:lvlJc w:val="right"/>
      <w:pPr>
        <w:ind w:left="1080" w:hanging="72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6283FE9"/>
    <w:multiLevelType w:val="hybridMultilevel"/>
    <w:tmpl w:val="475280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928525B"/>
    <w:multiLevelType w:val="hybridMultilevel"/>
    <w:tmpl w:val="41AA6B22"/>
    <w:lvl w:ilvl="0" w:tplc="79C4B43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B9E44BB"/>
    <w:multiLevelType w:val="hybridMultilevel"/>
    <w:tmpl w:val="12189A8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F12223E"/>
    <w:multiLevelType w:val="multilevel"/>
    <w:tmpl w:val="A6C8F632"/>
    <w:lvl w:ilvl="0">
      <w:start w:val="1"/>
      <w:numFmt w:val="decimal"/>
      <w:lvlText w:val="%1."/>
      <w:lvlJc w:val="left"/>
      <w:pPr>
        <w:tabs>
          <w:tab w:val="num" w:pos="1068"/>
        </w:tabs>
        <w:ind w:left="1068" w:hanging="360"/>
      </w:pPr>
    </w:lvl>
    <w:lvl w:ilvl="1">
      <w:start w:val="5"/>
      <w:numFmt w:val="decimal"/>
      <w:isLgl/>
      <w:lvlText w:val="%1.%2"/>
      <w:lvlJc w:val="left"/>
      <w:pPr>
        <w:ind w:left="1188" w:hanging="48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3" w15:restartNumberingAfterBreak="0">
    <w:nsid w:val="23A47857"/>
    <w:multiLevelType w:val="hybridMultilevel"/>
    <w:tmpl w:val="62DE350C"/>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B115EFC"/>
    <w:multiLevelType w:val="hybridMultilevel"/>
    <w:tmpl w:val="E45C63D0"/>
    <w:lvl w:ilvl="0" w:tplc="EDE88FA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B633EE9"/>
    <w:multiLevelType w:val="hybridMultilevel"/>
    <w:tmpl w:val="4790B9DE"/>
    <w:lvl w:ilvl="0" w:tplc="78D648E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E1C291A"/>
    <w:multiLevelType w:val="hybridMultilevel"/>
    <w:tmpl w:val="9472773A"/>
    <w:lvl w:ilvl="0" w:tplc="108AEA0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F4E0C3C"/>
    <w:multiLevelType w:val="hybridMultilevel"/>
    <w:tmpl w:val="0040D4E6"/>
    <w:lvl w:ilvl="0" w:tplc="594876C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BF03682"/>
    <w:multiLevelType w:val="multilevel"/>
    <w:tmpl w:val="CA8ABA1A"/>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C31309"/>
    <w:multiLevelType w:val="hybridMultilevel"/>
    <w:tmpl w:val="E3DE4286"/>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1441DAD"/>
    <w:multiLevelType w:val="hybridMultilevel"/>
    <w:tmpl w:val="F64E909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5CB4920"/>
    <w:multiLevelType w:val="hybridMultilevel"/>
    <w:tmpl w:val="11AA0B9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A4331C0"/>
    <w:multiLevelType w:val="multilevel"/>
    <w:tmpl w:val="B7B8BE7C"/>
    <w:lvl w:ilvl="0">
      <w:start w:val="2"/>
      <w:numFmt w:val="decimal"/>
      <w:lvlText w:val="%1."/>
      <w:lvlJc w:val="left"/>
      <w:pPr>
        <w:ind w:left="450" w:hanging="450"/>
      </w:pPr>
      <w:rPr>
        <w:rFonts w:hint="default"/>
      </w:rPr>
    </w:lvl>
    <w:lvl w:ilvl="1">
      <w:start w:val="6"/>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B803360"/>
    <w:multiLevelType w:val="hybridMultilevel"/>
    <w:tmpl w:val="2D882804"/>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4C2B63BD"/>
    <w:multiLevelType w:val="multilevel"/>
    <w:tmpl w:val="51A81E9C"/>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414591C"/>
    <w:multiLevelType w:val="hybridMultilevel"/>
    <w:tmpl w:val="806043E0"/>
    <w:lvl w:ilvl="0" w:tplc="0C0A000F">
      <w:start w:val="1"/>
      <w:numFmt w:val="decimal"/>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6" w15:restartNumberingAfterBreak="0">
    <w:nsid w:val="5990413F"/>
    <w:multiLevelType w:val="hybridMultilevel"/>
    <w:tmpl w:val="7C927004"/>
    <w:lvl w:ilvl="0" w:tplc="9D9E56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DCD444C"/>
    <w:multiLevelType w:val="multilevel"/>
    <w:tmpl w:val="DDD0F794"/>
    <w:lvl w:ilvl="0">
      <w:start w:val="2"/>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F5F1160"/>
    <w:multiLevelType w:val="hybridMultilevel"/>
    <w:tmpl w:val="BF386B1C"/>
    <w:lvl w:ilvl="0" w:tplc="96E41A6C">
      <w:start w:val="1"/>
      <w:numFmt w:val="lowerRoman"/>
      <w:lvlText w:val="%1."/>
      <w:lvlJc w:val="left"/>
      <w:pPr>
        <w:ind w:left="1080" w:hanging="72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8554EA2"/>
    <w:multiLevelType w:val="hybridMultilevel"/>
    <w:tmpl w:val="552A9994"/>
    <w:lvl w:ilvl="0" w:tplc="B4FCAF9A">
      <w:start w:val="1"/>
      <w:numFmt w:val="lowerRoman"/>
      <w:lvlText w:val="%1."/>
      <w:lvlJc w:val="left"/>
      <w:pPr>
        <w:ind w:left="1004" w:hanging="72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30" w15:restartNumberingAfterBreak="0">
    <w:nsid w:val="6F0E2D69"/>
    <w:multiLevelType w:val="hybridMultilevel"/>
    <w:tmpl w:val="C53E918C"/>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70F06E59"/>
    <w:multiLevelType w:val="hybridMultilevel"/>
    <w:tmpl w:val="4AB6A2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69B5A42"/>
    <w:multiLevelType w:val="multilevel"/>
    <w:tmpl w:val="243A1E7C"/>
    <w:lvl w:ilvl="0">
      <w:start w:val="1"/>
      <w:numFmt w:val="decimal"/>
      <w:lvlText w:val="%1."/>
      <w:lvlJc w:val="left"/>
      <w:pPr>
        <w:ind w:left="720" w:hanging="360"/>
      </w:pPr>
    </w:lvl>
    <w:lvl w:ilvl="1">
      <w:start w:val="3"/>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9162037"/>
    <w:multiLevelType w:val="multilevel"/>
    <w:tmpl w:val="085AD7FC"/>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D086CDD"/>
    <w:multiLevelType w:val="hybridMultilevel"/>
    <w:tmpl w:val="8F007C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97986693">
    <w:abstractNumId w:val="5"/>
  </w:num>
  <w:num w:numId="2" w16cid:durableId="140775791">
    <w:abstractNumId w:val="27"/>
  </w:num>
  <w:num w:numId="3" w16cid:durableId="1067801309">
    <w:abstractNumId w:val="25"/>
  </w:num>
  <w:num w:numId="4" w16cid:durableId="165294498">
    <w:abstractNumId w:val="12"/>
  </w:num>
  <w:num w:numId="5" w16cid:durableId="1044330791">
    <w:abstractNumId w:val="17"/>
  </w:num>
  <w:num w:numId="6" w16cid:durableId="1360278071">
    <w:abstractNumId w:val="23"/>
  </w:num>
  <w:num w:numId="7" w16cid:durableId="1087727056">
    <w:abstractNumId w:val="30"/>
  </w:num>
  <w:num w:numId="8" w16cid:durableId="1864784667">
    <w:abstractNumId w:val="19"/>
  </w:num>
  <w:num w:numId="9" w16cid:durableId="1613050618">
    <w:abstractNumId w:val="2"/>
  </w:num>
  <w:num w:numId="10" w16cid:durableId="1808204360">
    <w:abstractNumId w:val="13"/>
  </w:num>
  <w:num w:numId="11" w16cid:durableId="700783944">
    <w:abstractNumId w:val="7"/>
  </w:num>
  <w:num w:numId="12" w16cid:durableId="139199780">
    <w:abstractNumId w:val="34"/>
  </w:num>
  <w:num w:numId="13" w16cid:durableId="323093870">
    <w:abstractNumId w:val="8"/>
  </w:num>
  <w:num w:numId="14" w16cid:durableId="1097403161">
    <w:abstractNumId w:val="16"/>
  </w:num>
  <w:num w:numId="15" w16cid:durableId="47537628">
    <w:abstractNumId w:val="26"/>
  </w:num>
  <w:num w:numId="16" w16cid:durableId="1263490976">
    <w:abstractNumId w:val="10"/>
  </w:num>
  <w:num w:numId="17" w16cid:durableId="928922833">
    <w:abstractNumId w:val="14"/>
  </w:num>
  <w:num w:numId="18" w16cid:durableId="1631128819">
    <w:abstractNumId w:val="15"/>
  </w:num>
  <w:num w:numId="19" w16cid:durableId="498348052">
    <w:abstractNumId w:val="21"/>
  </w:num>
  <w:num w:numId="20" w16cid:durableId="1264144285">
    <w:abstractNumId w:val="9"/>
  </w:num>
  <w:num w:numId="21" w16cid:durableId="1376199997">
    <w:abstractNumId w:val="11"/>
  </w:num>
  <w:num w:numId="22" w16cid:durableId="1255439887">
    <w:abstractNumId w:val="1"/>
  </w:num>
  <w:num w:numId="23" w16cid:durableId="147332506">
    <w:abstractNumId w:val="28"/>
  </w:num>
  <w:num w:numId="24" w16cid:durableId="1861896456">
    <w:abstractNumId w:val="32"/>
  </w:num>
  <w:num w:numId="25" w16cid:durableId="1475174924">
    <w:abstractNumId w:val="31"/>
  </w:num>
  <w:num w:numId="26" w16cid:durableId="2003580563">
    <w:abstractNumId w:val="20"/>
  </w:num>
  <w:num w:numId="27" w16cid:durableId="1627199525">
    <w:abstractNumId w:val="4"/>
  </w:num>
  <w:num w:numId="28" w16cid:durableId="936881">
    <w:abstractNumId w:val="3"/>
  </w:num>
  <w:num w:numId="29" w16cid:durableId="504828807">
    <w:abstractNumId w:val="6"/>
  </w:num>
  <w:num w:numId="30" w16cid:durableId="1298685433">
    <w:abstractNumId w:val="29"/>
  </w:num>
  <w:num w:numId="31" w16cid:durableId="1571815592">
    <w:abstractNumId w:val="24"/>
  </w:num>
  <w:num w:numId="32" w16cid:durableId="586576907">
    <w:abstractNumId w:val="0"/>
  </w:num>
  <w:num w:numId="33" w16cid:durableId="45302577">
    <w:abstractNumId w:val="33"/>
  </w:num>
  <w:num w:numId="34" w16cid:durableId="401102086">
    <w:abstractNumId w:val="18"/>
  </w:num>
  <w:num w:numId="35" w16cid:durableId="26366088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proofState w:spelling="clean" w:grammar="clean"/>
  <w:defaultTabStop w:val="708"/>
  <w:hyphenationZone w:val="425"/>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46"/>
    <w:rsid w:val="000014DE"/>
    <w:rsid w:val="00004103"/>
    <w:rsid w:val="00010FA5"/>
    <w:rsid w:val="00011172"/>
    <w:rsid w:val="00011B82"/>
    <w:rsid w:val="00033386"/>
    <w:rsid w:val="0004086B"/>
    <w:rsid w:val="0005106E"/>
    <w:rsid w:val="00052050"/>
    <w:rsid w:val="00054AE4"/>
    <w:rsid w:val="00056637"/>
    <w:rsid w:val="00062176"/>
    <w:rsid w:val="00063228"/>
    <w:rsid w:val="00063731"/>
    <w:rsid w:val="00065576"/>
    <w:rsid w:val="00081B3C"/>
    <w:rsid w:val="00082EB2"/>
    <w:rsid w:val="0009046F"/>
    <w:rsid w:val="00091387"/>
    <w:rsid w:val="000934D9"/>
    <w:rsid w:val="000A1910"/>
    <w:rsid w:val="000A4CFC"/>
    <w:rsid w:val="000B2ED9"/>
    <w:rsid w:val="000B410E"/>
    <w:rsid w:val="000C5795"/>
    <w:rsid w:val="000D1247"/>
    <w:rsid w:val="001152F1"/>
    <w:rsid w:val="0011608C"/>
    <w:rsid w:val="001445C6"/>
    <w:rsid w:val="001451B4"/>
    <w:rsid w:val="001503B1"/>
    <w:rsid w:val="00165646"/>
    <w:rsid w:val="0017169C"/>
    <w:rsid w:val="00172A05"/>
    <w:rsid w:val="00183380"/>
    <w:rsid w:val="0018758E"/>
    <w:rsid w:val="001957CE"/>
    <w:rsid w:val="00195F4F"/>
    <w:rsid w:val="001A1B2F"/>
    <w:rsid w:val="001A78AD"/>
    <w:rsid w:val="001B396F"/>
    <w:rsid w:val="001C1270"/>
    <w:rsid w:val="001D1168"/>
    <w:rsid w:val="001D74DA"/>
    <w:rsid w:val="001E3BBD"/>
    <w:rsid w:val="00216788"/>
    <w:rsid w:val="00217EE2"/>
    <w:rsid w:val="002267D6"/>
    <w:rsid w:val="0023284C"/>
    <w:rsid w:val="00237547"/>
    <w:rsid w:val="00277E3C"/>
    <w:rsid w:val="002972FF"/>
    <w:rsid w:val="002B29B8"/>
    <w:rsid w:val="002B3681"/>
    <w:rsid w:val="002B5A2D"/>
    <w:rsid w:val="002C7DF9"/>
    <w:rsid w:val="002D6CFC"/>
    <w:rsid w:val="002D79BB"/>
    <w:rsid w:val="002E0427"/>
    <w:rsid w:val="002E33B8"/>
    <w:rsid w:val="002F65DB"/>
    <w:rsid w:val="00302635"/>
    <w:rsid w:val="00307E8D"/>
    <w:rsid w:val="00325196"/>
    <w:rsid w:val="0033545A"/>
    <w:rsid w:val="00354D80"/>
    <w:rsid w:val="00354E74"/>
    <w:rsid w:val="00361781"/>
    <w:rsid w:val="00363FB1"/>
    <w:rsid w:val="003772FC"/>
    <w:rsid w:val="00385389"/>
    <w:rsid w:val="003B28F1"/>
    <w:rsid w:val="003C6A82"/>
    <w:rsid w:val="003D1603"/>
    <w:rsid w:val="003E1CD3"/>
    <w:rsid w:val="003F665D"/>
    <w:rsid w:val="004172FC"/>
    <w:rsid w:val="00421AFB"/>
    <w:rsid w:val="00422ABF"/>
    <w:rsid w:val="00424D95"/>
    <w:rsid w:val="004339A4"/>
    <w:rsid w:val="0044173F"/>
    <w:rsid w:val="00450195"/>
    <w:rsid w:val="00484879"/>
    <w:rsid w:val="004853F8"/>
    <w:rsid w:val="004A1CA9"/>
    <w:rsid w:val="004A3A91"/>
    <w:rsid w:val="004A468A"/>
    <w:rsid w:val="004A4D7A"/>
    <w:rsid w:val="004A6CCA"/>
    <w:rsid w:val="004B561D"/>
    <w:rsid w:val="004C183D"/>
    <w:rsid w:val="004D1CF7"/>
    <w:rsid w:val="004D6C7A"/>
    <w:rsid w:val="004E25A1"/>
    <w:rsid w:val="004F2870"/>
    <w:rsid w:val="00526D9A"/>
    <w:rsid w:val="00544DFC"/>
    <w:rsid w:val="005654FA"/>
    <w:rsid w:val="00570E03"/>
    <w:rsid w:val="005760ED"/>
    <w:rsid w:val="00583548"/>
    <w:rsid w:val="00593020"/>
    <w:rsid w:val="00597304"/>
    <w:rsid w:val="005977A6"/>
    <w:rsid w:val="005B4AE8"/>
    <w:rsid w:val="005C3F24"/>
    <w:rsid w:val="005D006A"/>
    <w:rsid w:val="005E175D"/>
    <w:rsid w:val="005E3AEF"/>
    <w:rsid w:val="00616A60"/>
    <w:rsid w:val="00617AD9"/>
    <w:rsid w:val="00625FAC"/>
    <w:rsid w:val="006304C0"/>
    <w:rsid w:val="006437D7"/>
    <w:rsid w:val="006740E5"/>
    <w:rsid w:val="006874FD"/>
    <w:rsid w:val="00695BC9"/>
    <w:rsid w:val="00696B5E"/>
    <w:rsid w:val="006C0A9C"/>
    <w:rsid w:val="006D1908"/>
    <w:rsid w:val="006D51CF"/>
    <w:rsid w:val="006E760E"/>
    <w:rsid w:val="006F5ACF"/>
    <w:rsid w:val="00707FE1"/>
    <w:rsid w:val="00712EAF"/>
    <w:rsid w:val="007211F4"/>
    <w:rsid w:val="00731EF5"/>
    <w:rsid w:val="007339B9"/>
    <w:rsid w:val="00733A41"/>
    <w:rsid w:val="00736223"/>
    <w:rsid w:val="00764C13"/>
    <w:rsid w:val="00775A10"/>
    <w:rsid w:val="00782205"/>
    <w:rsid w:val="00794247"/>
    <w:rsid w:val="007A7610"/>
    <w:rsid w:val="007B1750"/>
    <w:rsid w:val="007B1B5D"/>
    <w:rsid w:val="007B5AA0"/>
    <w:rsid w:val="007C6A3F"/>
    <w:rsid w:val="007E1744"/>
    <w:rsid w:val="007F12B8"/>
    <w:rsid w:val="007F5197"/>
    <w:rsid w:val="00810321"/>
    <w:rsid w:val="008407C0"/>
    <w:rsid w:val="00843DAF"/>
    <w:rsid w:val="00844255"/>
    <w:rsid w:val="00847474"/>
    <w:rsid w:val="00855313"/>
    <w:rsid w:val="008573C0"/>
    <w:rsid w:val="00863C8E"/>
    <w:rsid w:val="0087141E"/>
    <w:rsid w:val="00880F93"/>
    <w:rsid w:val="00883E0D"/>
    <w:rsid w:val="00884D14"/>
    <w:rsid w:val="0088579E"/>
    <w:rsid w:val="008871D8"/>
    <w:rsid w:val="00895988"/>
    <w:rsid w:val="008B5E40"/>
    <w:rsid w:val="008B75A2"/>
    <w:rsid w:val="008C1BA9"/>
    <w:rsid w:val="008D12A8"/>
    <w:rsid w:val="008D5710"/>
    <w:rsid w:val="008D61B5"/>
    <w:rsid w:val="008F2DA3"/>
    <w:rsid w:val="009004C2"/>
    <w:rsid w:val="009177AB"/>
    <w:rsid w:val="00927F04"/>
    <w:rsid w:val="00955331"/>
    <w:rsid w:val="009746EA"/>
    <w:rsid w:val="00983116"/>
    <w:rsid w:val="0098565D"/>
    <w:rsid w:val="009A45DE"/>
    <w:rsid w:val="009B2D45"/>
    <w:rsid w:val="009B3958"/>
    <w:rsid w:val="009B593D"/>
    <w:rsid w:val="009B6DEA"/>
    <w:rsid w:val="009C3C4E"/>
    <w:rsid w:val="009C6BCF"/>
    <w:rsid w:val="009D0AF3"/>
    <w:rsid w:val="00A033D1"/>
    <w:rsid w:val="00A06246"/>
    <w:rsid w:val="00A07D47"/>
    <w:rsid w:val="00A1100B"/>
    <w:rsid w:val="00A20357"/>
    <w:rsid w:val="00A27820"/>
    <w:rsid w:val="00A3014B"/>
    <w:rsid w:val="00A63A2E"/>
    <w:rsid w:val="00A651D9"/>
    <w:rsid w:val="00A6696A"/>
    <w:rsid w:val="00A754D7"/>
    <w:rsid w:val="00A7799B"/>
    <w:rsid w:val="00A83060"/>
    <w:rsid w:val="00A8780B"/>
    <w:rsid w:val="00AB461D"/>
    <w:rsid w:val="00AC562F"/>
    <w:rsid w:val="00AC7E97"/>
    <w:rsid w:val="00AD2E6F"/>
    <w:rsid w:val="00B13F97"/>
    <w:rsid w:val="00B176EF"/>
    <w:rsid w:val="00B17B86"/>
    <w:rsid w:val="00B217AC"/>
    <w:rsid w:val="00B21B1A"/>
    <w:rsid w:val="00B230F9"/>
    <w:rsid w:val="00B74126"/>
    <w:rsid w:val="00B8137A"/>
    <w:rsid w:val="00B850E0"/>
    <w:rsid w:val="00B865D0"/>
    <w:rsid w:val="00B87C26"/>
    <w:rsid w:val="00B9645A"/>
    <w:rsid w:val="00BA1AEF"/>
    <w:rsid w:val="00BC29F0"/>
    <w:rsid w:val="00BF07C6"/>
    <w:rsid w:val="00C002AB"/>
    <w:rsid w:val="00C00A72"/>
    <w:rsid w:val="00C15D68"/>
    <w:rsid w:val="00C4496F"/>
    <w:rsid w:val="00C5005F"/>
    <w:rsid w:val="00C6416A"/>
    <w:rsid w:val="00C64BCE"/>
    <w:rsid w:val="00C73C7B"/>
    <w:rsid w:val="00C8539B"/>
    <w:rsid w:val="00C932B5"/>
    <w:rsid w:val="00CA73F5"/>
    <w:rsid w:val="00CC6D56"/>
    <w:rsid w:val="00CC79FE"/>
    <w:rsid w:val="00CF062D"/>
    <w:rsid w:val="00D0248F"/>
    <w:rsid w:val="00D11757"/>
    <w:rsid w:val="00D22956"/>
    <w:rsid w:val="00D6146B"/>
    <w:rsid w:val="00D710E5"/>
    <w:rsid w:val="00D711B7"/>
    <w:rsid w:val="00D80810"/>
    <w:rsid w:val="00D90D04"/>
    <w:rsid w:val="00DA295A"/>
    <w:rsid w:val="00DA719F"/>
    <w:rsid w:val="00DD0DC0"/>
    <w:rsid w:val="00DF25D7"/>
    <w:rsid w:val="00DF62C8"/>
    <w:rsid w:val="00E03F56"/>
    <w:rsid w:val="00E1122A"/>
    <w:rsid w:val="00E26065"/>
    <w:rsid w:val="00E41048"/>
    <w:rsid w:val="00E56DD2"/>
    <w:rsid w:val="00E61792"/>
    <w:rsid w:val="00E70315"/>
    <w:rsid w:val="00E77073"/>
    <w:rsid w:val="00E95042"/>
    <w:rsid w:val="00EB2112"/>
    <w:rsid w:val="00EC0230"/>
    <w:rsid w:val="00EC5C5A"/>
    <w:rsid w:val="00ED057A"/>
    <w:rsid w:val="00ED49F2"/>
    <w:rsid w:val="00EE293A"/>
    <w:rsid w:val="00EE6AC0"/>
    <w:rsid w:val="00EF1DFE"/>
    <w:rsid w:val="00EF7E6D"/>
    <w:rsid w:val="00F03989"/>
    <w:rsid w:val="00F14314"/>
    <w:rsid w:val="00F216FB"/>
    <w:rsid w:val="00F336AA"/>
    <w:rsid w:val="00F40EED"/>
    <w:rsid w:val="00F652CF"/>
    <w:rsid w:val="00F6687F"/>
    <w:rsid w:val="00F67407"/>
    <w:rsid w:val="00F73832"/>
    <w:rsid w:val="00F8262E"/>
    <w:rsid w:val="00F83582"/>
    <w:rsid w:val="00F853EA"/>
    <w:rsid w:val="00F86DE1"/>
    <w:rsid w:val="00F946C2"/>
    <w:rsid w:val="00FB4969"/>
    <w:rsid w:val="00FB7D45"/>
    <w:rsid w:val="00FE1537"/>
    <w:rsid w:val="00FE2A5D"/>
    <w:rsid w:val="00FE6CAC"/>
    <w:rsid w:val="00FF5DDE"/>
    <w:rsid w:val="78BF0FE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3920DB08"/>
  <w15:docId w15:val="{37B5FAE1-A3DB-8F4A-9E74-F685D63F7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semiHidden/>
    <w:unhideWhenUsed/>
    <w:rsid w:val="0016564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5646"/>
    <w:rPr>
      <w:sz w:val="20"/>
      <w:szCs w:val="20"/>
    </w:rPr>
  </w:style>
  <w:style w:type="character" w:styleId="Refdecomentario">
    <w:name w:val="annotation reference"/>
    <w:rsid w:val="00165646"/>
    <w:rPr>
      <w:sz w:val="16"/>
      <w:szCs w:val="16"/>
    </w:rPr>
  </w:style>
  <w:style w:type="paragraph" w:styleId="Piedepgina">
    <w:name w:val="footer"/>
    <w:basedOn w:val="Normal"/>
    <w:link w:val="PiedepginaCar"/>
    <w:unhideWhenUsed/>
    <w:rsid w:val="001656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65646"/>
  </w:style>
  <w:style w:type="paragraph" w:styleId="Encabezado">
    <w:name w:val="header"/>
    <w:basedOn w:val="Normal"/>
    <w:link w:val="EncabezadoCar"/>
    <w:unhideWhenUsed/>
    <w:rsid w:val="00165646"/>
    <w:pPr>
      <w:tabs>
        <w:tab w:val="center" w:pos="4419"/>
        <w:tab w:val="right" w:pos="8838"/>
      </w:tabs>
      <w:spacing w:after="0" w:line="240" w:lineRule="auto"/>
    </w:pPr>
  </w:style>
  <w:style w:type="character" w:customStyle="1" w:styleId="EncabezadoCar">
    <w:name w:val="Encabezado Car"/>
    <w:basedOn w:val="Fuentedeprrafopredeter"/>
    <w:link w:val="Encabezado"/>
    <w:rsid w:val="00165646"/>
  </w:style>
  <w:style w:type="character" w:styleId="Nmerodepgina">
    <w:name w:val="page number"/>
    <w:rsid w:val="00165646"/>
    <w:rPr>
      <w:rFonts w:cs="Times New Roman"/>
    </w:rPr>
  </w:style>
  <w:style w:type="paragraph" w:styleId="Textodeglobo">
    <w:name w:val="Balloon Text"/>
    <w:basedOn w:val="Normal"/>
    <w:link w:val="TextodegloboCar"/>
    <w:uiPriority w:val="99"/>
    <w:semiHidden/>
    <w:unhideWhenUsed/>
    <w:rsid w:val="0016564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5646"/>
    <w:rPr>
      <w:rFonts w:ascii="Segoe UI" w:hAnsi="Segoe UI" w:cs="Segoe UI"/>
      <w:sz w:val="18"/>
      <w:szCs w:val="18"/>
    </w:rPr>
  </w:style>
  <w:style w:type="paragraph" w:styleId="Ttulo">
    <w:name w:val="Title"/>
    <w:basedOn w:val="Normal"/>
    <w:link w:val="TtuloCar"/>
    <w:qFormat/>
    <w:rsid w:val="001C1270"/>
    <w:pPr>
      <w:spacing w:after="0" w:line="240" w:lineRule="auto"/>
      <w:jc w:val="center"/>
    </w:pPr>
    <w:rPr>
      <w:rFonts w:ascii="AvantGarde Bk BT" w:eastAsia="Times New Roman" w:hAnsi="AvantGarde Bk BT" w:cs="Times New Roman"/>
      <w:snapToGrid w:val="0"/>
      <w:sz w:val="28"/>
      <w:szCs w:val="20"/>
      <w:lang w:val="es-MX" w:eastAsia="es-ES"/>
    </w:rPr>
  </w:style>
  <w:style w:type="character" w:customStyle="1" w:styleId="TtuloCar">
    <w:name w:val="Título Car"/>
    <w:basedOn w:val="Fuentedeprrafopredeter"/>
    <w:link w:val="Ttulo"/>
    <w:rsid w:val="001C1270"/>
    <w:rPr>
      <w:rFonts w:ascii="AvantGarde Bk BT" w:eastAsia="Times New Roman" w:hAnsi="AvantGarde Bk BT" w:cs="Times New Roman"/>
      <w:snapToGrid w:val="0"/>
      <w:sz w:val="28"/>
      <w:szCs w:val="20"/>
      <w:lang w:val="es-MX" w:eastAsia="es-ES"/>
    </w:rPr>
  </w:style>
  <w:style w:type="paragraph" w:styleId="Prrafodelista">
    <w:name w:val="List Paragraph"/>
    <w:basedOn w:val="Normal"/>
    <w:uiPriority w:val="34"/>
    <w:qFormat/>
    <w:rsid w:val="00361781"/>
    <w:pPr>
      <w:ind w:left="720"/>
      <w:contextualSpacing/>
    </w:pPr>
  </w:style>
  <w:style w:type="paragraph" w:styleId="Asuntodelcomentario">
    <w:name w:val="annotation subject"/>
    <w:basedOn w:val="Textocomentario"/>
    <w:next w:val="Textocomentario"/>
    <w:link w:val="AsuntodelcomentarioCar"/>
    <w:uiPriority w:val="99"/>
    <w:semiHidden/>
    <w:unhideWhenUsed/>
    <w:rsid w:val="00AC562F"/>
    <w:rPr>
      <w:b/>
      <w:bCs/>
    </w:rPr>
  </w:style>
  <w:style w:type="character" w:customStyle="1" w:styleId="AsuntodelcomentarioCar">
    <w:name w:val="Asunto del comentario Car"/>
    <w:basedOn w:val="TextocomentarioCar"/>
    <w:link w:val="Asuntodelcomentario"/>
    <w:uiPriority w:val="99"/>
    <w:semiHidden/>
    <w:rsid w:val="00AC562F"/>
    <w:rPr>
      <w:b/>
      <w:bCs/>
      <w:sz w:val="20"/>
      <w:szCs w:val="20"/>
    </w:rPr>
  </w:style>
  <w:style w:type="paragraph" w:styleId="Revisin">
    <w:name w:val="Revision"/>
    <w:hidden/>
    <w:uiPriority w:val="99"/>
    <w:semiHidden/>
    <w:rsid w:val="00DA29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630085">
      <w:bodyDiv w:val="1"/>
      <w:marLeft w:val="0"/>
      <w:marRight w:val="0"/>
      <w:marTop w:val="0"/>
      <w:marBottom w:val="0"/>
      <w:divBdr>
        <w:top w:val="none" w:sz="0" w:space="0" w:color="auto"/>
        <w:left w:val="none" w:sz="0" w:space="0" w:color="auto"/>
        <w:bottom w:val="none" w:sz="0" w:space="0" w:color="auto"/>
        <w:right w:val="none" w:sz="0" w:space="0" w:color="auto"/>
      </w:divBdr>
      <w:divsChild>
        <w:div w:id="330760886">
          <w:marLeft w:val="0"/>
          <w:marRight w:val="0"/>
          <w:marTop w:val="0"/>
          <w:marBottom w:val="0"/>
          <w:divBdr>
            <w:top w:val="none" w:sz="0" w:space="0" w:color="auto"/>
            <w:left w:val="none" w:sz="0" w:space="0" w:color="auto"/>
            <w:bottom w:val="none" w:sz="0" w:space="0" w:color="auto"/>
            <w:right w:val="none" w:sz="0" w:space="0" w:color="auto"/>
          </w:divBdr>
        </w:div>
      </w:divsChild>
    </w:div>
    <w:div w:id="1527602708">
      <w:bodyDiv w:val="1"/>
      <w:marLeft w:val="0"/>
      <w:marRight w:val="0"/>
      <w:marTop w:val="0"/>
      <w:marBottom w:val="0"/>
      <w:divBdr>
        <w:top w:val="none" w:sz="0" w:space="0" w:color="auto"/>
        <w:left w:val="none" w:sz="0" w:space="0" w:color="auto"/>
        <w:bottom w:val="none" w:sz="0" w:space="0" w:color="auto"/>
        <w:right w:val="none" w:sz="0" w:space="0" w:color="auto"/>
      </w:divBdr>
    </w:div>
    <w:div w:id="1644002682">
      <w:bodyDiv w:val="1"/>
      <w:marLeft w:val="0"/>
      <w:marRight w:val="0"/>
      <w:marTop w:val="0"/>
      <w:marBottom w:val="0"/>
      <w:divBdr>
        <w:top w:val="none" w:sz="0" w:space="0" w:color="auto"/>
        <w:left w:val="none" w:sz="0" w:space="0" w:color="auto"/>
        <w:bottom w:val="none" w:sz="0" w:space="0" w:color="auto"/>
        <w:right w:val="none" w:sz="0" w:space="0" w:color="auto"/>
      </w:divBdr>
      <w:divsChild>
        <w:div w:id="1829976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1.wmf"/><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oleObject" Target="embeddings/oleObject3.bin"/><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wmf"/><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8D77FF5838414D90B359564BE81BAF" ma:contentTypeVersion="2" ma:contentTypeDescription="Create a new document." ma:contentTypeScope="" ma:versionID="51c3f7b178c223c783f0ed05cee89b95">
  <xsd:schema xmlns:xsd="http://www.w3.org/2001/XMLSchema" xmlns:xs="http://www.w3.org/2001/XMLSchema" xmlns:p="http://schemas.microsoft.com/office/2006/metadata/properties" xmlns:ns2="25bada0a-ba3b-4b5f-925a-08c82839cc50" targetNamespace="http://schemas.microsoft.com/office/2006/metadata/properties" ma:root="true" ma:fieldsID="bc4d7dd71261911ec3484acd9c2796d3" ns2:_="">
    <xsd:import namespace="25bada0a-ba3b-4b5f-925a-08c82839cc5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ada0a-ba3b-4b5f-925a-08c82839c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BF2A0F-A9E9-4476-9AD8-DF663CFAF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ada0a-ba3b-4b5f-925a-08c82839cc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D58B85-1038-4BDA-9056-B430BA432BD1}">
  <ds:schemaRefs>
    <ds:schemaRef ds:uri="http://schemas.microsoft.com/sharepoint/v3/contenttype/forms"/>
  </ds:schemaRefs>
</ds:datastoreItem>
</file>

<file path=customXml/itemProps3.xml><?xml version="1.0" encoding="utf-8"?>
<ds:datastoreItem xmlns:ds="http://schemas.openxmlformats.org/officeDocument/2006/customXml" ds:itemID="{8A2BE0C5-20C3-41AB-A3BC-B18D390A49BC}">
  <ds:schemaRefs>
    <ds:schemaRef ds:uri="http://schemas.openxmlformats.org/officeDocument/2006/bibliography"/>
  </ds:schemaRefs>
</ds:datastoreItem>
</file>

<file path=customXml/itemProps4.xml><?xml version="1.0" encoding="utf-8"?>
<ds:datastoreItem xmlns:ds="http://schemas.openxmlformats.org/officeDocument/2006/customXml" ds:itemID="{601ABE63-875F-49C2-B13C-A9DF033C2D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2521</Words>
  <Characters>13868</Characters>
  <Application>Microsoft Office Word</Application>
  <DocSecurity>4</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16357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Felipe Vera Valencia</dc:creator>
  <cp:keywords/>
  <cp:lastModifiedBy>Juan Bernardo Caicedo Guillen</cp:lastModifiedBy>
  <cp:revision>2</cp:revision>
  <cp:lastPrinted>2017-07-11T20:03:00Z</cp:lastPrinted>
  <dcterms:created xsi:type="dcterms:W3CDTF">2023-01-10T15:13:00Z</dcterms:created>
  <dcterms:modified xsi:type="dcterms:W3CDTF">2023-01-10T15:13:00Z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0x010100938D77FF5838414D90B359564BE81BAF</vt:lpwstr>
  </property>
</Properties>
</file>